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7" w:rsidRDefault="00800BE7">
      <w:pPr>
        <w:widowControl/>
        <w:tabs>
          <w:tab w:val="center" w:pos="4680"/>
        </w:tabs>
        <w:rPr>
          <w:b/>
          <w:bCs/>
        </w:rPr>
      </w:pPr>
      <w:r>
        <w:rPr>
          <w:b/>
          <w:bCs/>
        </w:rPr>
        <w:tab/>
        <w:t>AN ESTATE PLANNER’S PERSPECTIVE</w:t>
      </w:r>
    </w:p>
    <w:p w:rsidR="00800BE7" w:rsidRDefault="00800BE7">
      <w:pPr>
        <w:widowControl/>
        <w:tabs>
          <w:tab w:val="center" w:pos="4680"/>
        </w:tabs>
        <w:rPr>
          <w:b/>
          <w:bCs/>
        </w:rPr>
      </w:pPr>
      <w:r>
        <w:rPr>
          <w:b/>
          <w:bCs/>
        </w:rPr>
        <w:tab/>
        <w:t>ON RECENT TAX DEVELOPMENTS –</w:t>
      </w:r>
    </w:p>
    <w:p w:rsidR="00800BE7" w:rsidRDefault="00800BE7">
      <w:pPr>
        <w:widowControl/>
        <w:tabs>
          <w:tab w:val="center" w:pos="4680"/>
        </w:tabs>
      </w:pPr>
      <w:r>
        <w:rPr>
          <w:b/>
          <w:bCs/>
        </w:rPr>
        <w:tab/>
        <w:t>THE YEAR IN REVIEW</w:t>
      </w:r>
    </w:p>
    <w:p w:rsidR="00800BE7" w:rsidRDefault="00800BE7">
      <w:pPr>
        <w:widowControl/>
      </w:pPr>
    </w:p>
    <w:p w:rsidR="00800BE7" w:rsidRDefault="00800BE7">
      <w:pPr>
        <w:widowControl/>
        <w:tabs>
          <w:tab w:val="center" w:pos="4680"/>
        </w:tabs>
      </w:pPr>
      <w:r>
        <w:tab/>
        <w:t>by</w:t>
      </w:r>
    </w:p>
    <w:p w:rsidR="00800BE7" w:rsidRDefault="00800BE7">
      <w:pPr>
        <w:widowControl/>
      </w:pPr>
    </w:p>
    <w:p w:rsidR="00800BE7" w:rsidRDefault="00800BE7">
      <w:pPr>
        <w:widowControl/>
        <w:tabs>
          <w:tab w:val="center" w:pos="4680"/>
        </w:tabs>
      </w:pPr>
      <w:r>
        <w:tab/>
        <w:t>Howard M. Zaritsky, J.D., LL.M. (Tax)</w:t>
      </w:r>
    </w:p>
    <w:p w:rsidR="00800BE7" w:rsidRDefault="00800BE7">
      <w:pPr>
        <w:widowControl/>
        <w:tabs>
          <w:tab w:val="center" w:pos="4680"/>
        </w:tabs>
      </w:pPr>
      <w:r>
        <w:tab/>
        <w:t>Consulting Counsel</w:t>
      </w:r>
    </w:p>
    <w:p w:rsidR="00800BE7" w:rsidRDefault="00800BE7">
      <w:pPr>
        <w:widowControl/>
        <w:tabs>
          <w:tab w:val="center" w:pos="4680"/>
        </w:tabs>
      </w:pPr>
      <w:r>
        <w:tab/>
        <w:t>www.howardzaritsky.com</w:t>
      </w:r>
    </w:p>
    <w:p w:rsidR="00800BE7" w:rsidRDefault="00800BE7">
      <w:pPr>
        <w:widowControl/>
        <w:sectPr w:rsidR="00800BE7">
          <w:pgSz w:w="12240" w:h="15840"/>
          <w:pgMar w:top="1440" w:right="1440" w:bottom="1440" w:left="1440" w:header="1440" w:footer="1440" w:gutter="0"/>
          <w:cols w:space="720"/>
          <w:vAlign w:val="center"/>
          <w:noEndnote/>
        </w:sectPr>
      </w:pPr>
    </w:p>
    <w:p w:rsidR="00800BE7" w:rsidRDefault="00800BE7">
      <w:pPr>
        <w:widowControl/>
        <w:tabs>
          <w:tab w:val="center" w:pos="4680"/>
        </w:tabs>
        <w:jc w:val="both"/>
      </w:pPr>
      <w:r>
        <w:lastRenderedPageBreak/>
        <w:tab/>
        <w:t>TABLE OF CONTENTS</w:t>
      </w:r>
    </w:p>
    <w:p w:rsidR="00800BE7" w:rsidRDefault="00800BE7">
      <w:pPr>
        <w:widowControl/>
        <w:jc w:val="both"/>
      </w:pPr>
    </w:p>
    <w:p w:rsidR="00800BE7" w:rsidRDefault="00800BE7">
      <w:pPr>
        <w:widowControl/>
        <w:jc w:val="both"/>
      </w:pPr>
    </w:p>
    <w:p w:rsidR="00800BE7" w:rsidRDefault="00800BE7">
      <w:pPr>
        <w:widowControl/>
        <w:jc w:val="both"/>
        <w:sectPr w:rsidR="00800BE7">
          <w:footerReference w:type="default" r:id="rId7"/>
          <w:pgSz w:w="12240" w:h="15840"/>
          <w:pgMar w:top="1440" w:right="1440" w:bottom="1440" w:left="1440" w:header="1440" w:footer="1440" w:gutter="0"/>
          <w:pgNumType w:fmt="lowerRoman" w:start="1"/>
          <w:cols w:space="720"/>
          <w:noEndnote/>
        </w:sectPr>
      </w:pPr>
    </w:p>
    <w:p w:rsidR="00800BE7" w:rsidRDefault="00BC7053">
      <w:pPr>
        <w:pStyle w:val="TOC1"/>
        <w:widowControl/>
        <w:ind w:left="0" w:firstLine="0"/>
        <w:jc w:val="both"/>
      </w:pPr>
      <w:r>
        <w:lastRenderedPageBreak/>
        <w:fldChar w:fldCharType="begin"/>
      </w:r>
      <w:r w:rsidR="00800BE7">
        <w:instrText>TOC \f</w:instrText>
      </w:r>
      <w:r>
        <w:fldChar w:fldCharType="separate"/>
      </w:r>
    </w:p>
    <w:p w:rsidR="00800BE7" w:rsidRDefault="00800BE7">
      <w:pPr>
        <w:pStyle w:val="TOC1"/>
        <w:widowControl/>
        <w:tabs>
          <w:tab w:val="right" w:leader="dot" w:pos="9360"/>
        </w:tabs>
        <w:jc w:val="both"/>
      </w:pPr>
      <w:r>
        <w:t>INTRODUCTION</w:t>
      </w:r>
      <w:r>
        <w:tab/>
        <w:t>1</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I.</w:t>
      </w:r>
      <w:r>
        <w:tab/>
        <w:t>ESTATE TAXES</w:t>
      </w:r>
      <w:r>
        <w:tab/>
        <w:t>2</w:t>
      </w:r>
    </w:p>
    <w:p w:rsidR="00800BE7" w:rsidRDefault="00800BE7">
      <w:pPr>
        <w:pStyle w:val="TOC2"/>
        <w:widowControl/>
        <w:tabs>
          <w:tab w:val="left" w:pos="-1440"/>
          <w:tab w:val="left" w:pos="-720"/>
          <w:tab w:val="left" w:pos="0"/>
          <w:tab w:val="left" w:pos="720"/>
          <w:tab w:val="left" w:pos="1440"/>
          <w:tab w:val="right" w:leader="dot" w:pos="9360"/>
        </w:tabs>
        <w:jc w:val="both"/>
      </w:pPr>
      <w:r>
        <w:t>A.</w:t>
      </w:r>
      <w:r>
        <w:tab/>
        <w:t>Code § 2001.  Estate Tax Reform</w:t>
      </w:r>
      <w:r>
        <w:tab/>
        <w:t>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The Tax Relief Unemployment Insurance Reauthorization and Job Creation Act of 2010 Raises Exemptions, Lowers Rates, and Much More.  Pub. L. 111-312, 111</w:t>
      </w:r>
      <w:r>
        <w:rPr>
          <w:vertAlign w:val="superscript"/>
        </w:rPr>
        <w:t>th</w:t>
      </w:r>
      <w:r>
        <w:t xml:space="preserve"> Cong., 2</w:t>
      </w:r>
      <w:r>
        <w:rPr>
          <w:vertAlign w:val="superscript"/>
        </w:rPr>
        <w:t>nd</w:t>
      </w:r>
      <w:r>
        <w:t xml:space="preserve"> Sess. (Dec. 17, 2010), 124 Stat. 3296</w:t>
      </w:r>
      <w:r>
        <w:tab/>
        <w:t>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Administration Proposes Making 2009 Estate and GST Tax Laws Permanent – With a Few Changes.  Dept. of Treasury “General Explanations of the Administration’s Fiscal Year 2012 Revenue Proposals” pp. 123-130 (Feb. 14, 2011)</w:t>
      </w:r>
      <w:r>
        <w:tab/>
        <w:t>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Despite 2010 Estate Tax Reform, Some Republicans Continue to Press for Outright Repeal of Estate Tax and Other Changes.  H.R. 6522, 111</w:t>
      </w:r>
      <w:r>
        <w:rPr>
          <w:vertAlign w:val="superscript"/>
        </w:rPr>
        <w:t>th</w:t>
      </w:r>
      <w:r>
        <w:t xml:space="preserve"> Cong., 2</w:t>
      </w:r>
      <w:r>
        <w:rPr>
          <w:vertAlign w:val="superscript"/>
        </w:rPr>
        <w:t>nd</w:t>
      </w:r>
      <w:r>
        <w:t xml:space="preserve"> Sess. (Dec. 15, 2010); H.R. 6538, 111</w:t>
      </w:r>
      <w:r>
        <w:rPr>
          <w:vertAlign w:val="superscript"/>
        </w:rPr>
        <w:t>th</w:t>
      </w:r>
      <w:r>
        <w:t xml:space="preserve"> Cong., 2</w:t>
      </w:r>
      <w:r>
        <w:rPr>
          <w:vertAlign w:val="superscript"/>
        </w:rPr>
        <w:t>nd</w:t>
      </w:r>
      <w:r>
        <w:t xml:space="preserve"> Sess. (Dec. 16, 2010); H.R. 25, 112</w:t>
      </w:r>
      <w:r>
        <w:rPr>
          <w:vertAlign w:val="superscript"/>
        </w:rPr>
        <w:t>th</w:t>
      </w:r>
      <w:r>
        <w:t xml:space="preserve"> Cong., 1</w:t>
      </w:r>
      <w:r>
        <w:rPr>
          <w:vertAlign w:val="superscript"/>
        </w:rPr>
        <w:t>st</w:t>
      </w:r>
      <w:r>
        <w:t xml:space="preserve"> Sess. (Jan. 5, 2011); H.R. 86, 112</w:t>
      </w:r>
      <w:r>
        <w:rPr>
          <w:vertAlign w:val="superscript"/>
        </w:rPr>
        <w:t>th</w:t>
      </w:r>
      <w:r>
        <w:t xml:space="preserve"> Cong., 1</w:t>
      </w:r>
      <w:r>
        <w:rPr>
          <w:vertAlign w:val="superscript"/>
        </w:rPr>
        <w:t>st</w:t>
      </w:r>
      <w:r>
        <w:t xml:space="preserve"> Sess. (Jan. 5, 2011); H.R. 99, 112</w:t>
      </w:r>
      <w:r>
        <w:rPr>
          <w:vertAlign w:val="superscript"/>
        </w:rPr>
        <w:t>th</w:t>
      </w:r>
      <w:r>
        <w:t xml:space="preserve"> Cong., 1</w:t>
      </w:r>
      <w:r>
        <w:rPr>
          <w:vertAlign w:val="superscript"/>
        </w:rPr>
        <w:t>st</w:t>
      </w:r>
      <w:r>
        <w:t xml:space="preserve"> Sess. (Jan. 5, 2011); H.R. 123, 112</w:t>
      </w:r>
      <w:r>
        <w:rPr>
          <w:vertAlign w:val="superscript"/>
        </w:rPr>
        <w:t>th</w:t>
      </w:r>
      <w:r>
        <w:t xml:space="preserve"> Cong., 1</w:t>
      </w:r>
      <w:r>
        <w:rPr>
          <w:vertAlign w:val="superscript"/>
        </w:rPr>
        <w:t>st</w:t>
      </w:r>
      <w:r>
        <w:t xml:space="preserve"> Sess. (Jan. 5, 2011); H.R. 143, 112</w:t>
      </w:r>
      <w:r>
        <w:rPr>
          <w:vertAlign w:val="superscript"/>
        </w:rPr>
        <w:t>th</w:t>
      </w:r>
      <w:r>
        <w:t xml:space="preserve"> Cong., 1</w:t>
      </w:r>
      <w:r>
        <w:rPr>
          <w:vertAlign w:val="superscript"/>
        </w:rPr>
        <w:t>st</w:t>
      </w:r>
      <w:r>
        <w:t xml:space="preserve"> Sess. (Jan. 5, 2011); H.R. 177, 112</w:t>
      </w:r>
      <w:r>
        <w:rPr>
          <w:vertAlign w:val="superscript"/>
        </w:rPr>
        <w:t>th</w:t>
      </w:r>
      <w:r>
        <w:t xml:space="preserve"> Cong., 1</w:t>
      </w:r>
      <w:r>
        <w:rPr>
          <w:vertAlign w:val="superscript"/>
        </w:rPr>
        <w:t>st</w:t>
      </w:r>
      <w:r>
        <w:t xml:space="preserve"> Sess. (Jan. 5, 2011); H.R. 206, 112</w:t>
      </w:r>
      <w:r>
        <w:rPr>
          <w:vertAlign w:val="superscript"/>
        </w:rPr>
        <w:t>th</w:t>
      </w:r>
      <w:r>
        <w:t xml:space="preserve"> Cong., 1st Sess. (Jan. 6, 2011); H.R. 696, 112</w:t>
      </w:r>
      <w:r>
        <w:rPr>
          <w:vertAlign w:val="superscript"/>
        </w:rPr>
        <w:t>th</w:t>
      </w:r>
      <w:r>
        <w:t xml:space="preserve"> Cong., 1</w:t>
      </w:r>
      <w:r>
        <w:rPr>
          <w:vertAlign w:val="superscript"/>
        </w:rPr>
        <w:t>st</w:t>
      </w:r>
      <w:r>
        <w:t xml:space="preserve"> Sess. (Feb. 14, 2011); H.R. 1259, 112</w:t>
      </w:r>
      <w:r>
        <w:rPr>
          <w:vertAlign w:val="superscript"/>
        </w:rPr>
        <w:t>th</w:t>
      </w:r>
      <w:r>
        <w:t xml:space="preserve"> Cong., 1</w:t>
      </w:r>
      <w:r>
        <w:rPr>
          <w:vertAlign w:val="superscript"/>
        </w:rPr>
        <w:t>st</w:t>
      </w:r>
      <w:r>
        <w:t xml:space="preserve"> Sess. (March 30, 2011); H.R. 1757, 112</w:t>
      </w:r>
      <w:r>
        <w:rPr>
          <w:vertAlign w:val="superscript"/>
        </w:rPr>
        <w:t>th</w:t>
      </w:r>
      <w:r>
        <w:t xml:space="preserve"> Cong., 1</w:t>
      </w:r>
      <w:r>
        <w:rPr>
          <w:vertAlign w:val="superscript"/>
        </w:rPr>
        <w:t>st</w:t>
      </w:r>
      <w:r>
        <w:t xml:space="preserve"> Sess. (May 5, 2011); S. 13, 112</w:t>
      </w:r>
      <w:r>
        <w:rPr>
          <w:vertAlign w:val="superscript"/>
        </w:rPr>
        <w:t>th</w:t>
      </w:r>
      <w:r>
        <w:t xml:space="preserve"> Cong., 1</w:t>
      </w:r>
      <w:r>
        <w:rPr>
          <w:vertAlign w:val="superscript"/>
        </w:rPr>
        <w:t>st</w:t>
      </w:r>
      <w:r>
        <w:t xml:space="preserve"> Sess. (Jan. 25, 2011); S. 336, 112</w:t>
      </w:r>
      <w:r>
        <w:rPr>
          <w:vertAlign w:val="superscript"/>
        </w:rPr>
        <w:t>th</w:t>
      </w:r>
      <w:r>
        <w:t xml:space="preserve"> Cong., 1</w:t>
      </w:r>
      <w:r>
        <w:rPr>
          <w:vertAlign w:val="superscript"/>
        </w:rPr>
        <w:t>st</w:t>
      </w:r>
      <w:r>
        <w:t xml:space="preserve"> Sess. (Feb. 14, 2011); S. 820, 112</w:t>
      </w:r>
      <w:r>
        <w:rPr>
          <w:vertAlign w:val="superscript"/>
        </w:rPr>
        <w:t>th</w:t>
      </w:r>
      <w:r>
        <w:t xml:space="preserve"> Cong., 1</w:t>
      </w:r>
      <w:r>
        <w:rPr>
          <w:vertAlign w:val="superscript"/>
        </w:rPr>
        <w:t>st</w:t>
      </w:r>
      <w:r>
        <w:t xml:space="preserve"> Sess. (April 14, 2011)</w:t>
      </w:r>
      <w:r>
        <w:tab/>
        <w:t>8</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4.</w:t>
      </w:r>
      <w:r>
        <w:tab/>
        <w:t>IRS Provides Guidance on Election Out of the Estate Tax for 2010 Decedents.   Notice 2011-66, 2011-35 I.R.B. 184 (Aug. 29, 2011); Rev. Proc. 2011-41, 2011-35 I.R.B. 188 (Aug. 29, 2011)</w:t>
      </w:r>
      <w:r>
        <w:tab/>
        <w:t>9</w:t>
      </w:r>
    </w:p>
    <w:p w:rsidR="00800BE7" w:rsidRDefault="00800BE7">
      <w:pPr>
        <w:pStyle w:val="TOC2"/>
        <w:widowControl/>
        <w:tabs>
          <w:tab w:val="left" w:pos="-1440"/>
          <w:tab w:val="left" w:pos="-720"/>
          <w:tab w:val="left" w:pos="0"/>
          <w:tab w:val="left" w:pos="720"/>
          <w:tab w:val="left" w:pos="1440"/>
          <w:tab w:val="right" w:leader="dot" w:pos="9360"/>
        </w:tabs>
        <w:jc w:val="both"/>
      </w:pPr>
      <w:r>
        <w:t>B.</w:t>
      </w:r>
      <w:r>
        <w:tab/>
        <w:t>Code § 2013.  Credit for Tax on Prior Transfers</w:t>
      </w:r>
      <w:r>
        <w:tab/>
        <w:t>26</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Application of the First Limitation (Taxes Imposed on the First Estate) Examined and Applied to Reduce Credit for Tax on Prior Transfers. </w:t>
      </w:r>
      <w:r>
        <w:rPr>
          <w:i/>
          <w:iCs/>
        </w:rPr>
        <w:t>Estate of Le Caer v. Comm’r</w:t>
      </w:r>
      <w:r>
        <w:t>, 135 T.C. 288 (Sept. 7, 2010)</w:t>
      </w:r>
      <w:r>
        <w:tab/>
        <w:t>26</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 xml:space="preserve">2011 Award for Dumb Cause of Action.  No Credit for Tax on Prior Transfers Allowed an Estate That Owes No Tax.  </w:t>
      </w:r>
      <w:r>
        <w:rPr>
          <w:i/>
          <w:iCs/>
        </w:rPr>
        <w:t>Miglio v. Treasury Department</w:t>
      </w:r>
      <w:r>
        <w:t>, 2011 WL 3348069, 108 A.F.T.R.2d 2011-5537 (N.D. Ill. Aug. 2, 2011) (slip copy)</w:t>
      </w:r>
      <w:r>
        <w:tab/>
        <w:t>27</w:t>
      </w:r>
    </w:p>
    <w:p w:rsidR="00800BE7" w:rsidRDefault="00800BE7">
      <w:pPr>
        <w:pStyle w:val="TOC2"/>
        <w:widowControl/>
        <w:tabs>
          <w:tab w:val="left" w:pos="-1440"/>
          <w:tab w:val="left" w:pos="-720"/>
          <w:tab w:val="left" w:pos="0"/>
          <w:tab w:val="left" w:pos="720"/>
          <w:tab w:val="left" w:pos="1440"/>
          <w:tab w:val="right" w:leader="dot" w:pos="9360"/>
        </w:tabs>
        <w:jc w:val="both"/>
      </w:pPr>
      <w:r>
        <w:t>C.</w:t>
      </w:r>
      <w:r>
        <w:tab/>
        <w:t>Code §§ 2031, 2032, 2032A and 7520.  Valuation</w:t>
      </w:r>
      <w:r>
        <w:tab/>
        <w:t>28</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Fifth Circuit Upholds Jury Verdict Valuing Real Property Based on Subsequent Contract, Rezoning and Sale.  </w:t>
      </w:r>
      <w:r>
        <w:rPr>
          <w:i/>
          <w:iCs/>
        </w:rPr>
        <w:t>Estate of Levy v. United States</w:t>
      </w:r>
      <w:r>
        <w:t>, 402 Fed.Appx. 979 (5</w:t>
      </w:r>
      <w:r>
        <w:rPr>
          <w:vertAlign w:val="superscript"/>
        </w:rPr>
        <w:t>th</w:t>
      </w:r>
      <w:r>
        <w:t xml:space="preserve"> Cir. Dec. 1, 2010) (slip copy), </w:t>
      </w:r>
      <w:r>
        <w:rPr>
          <w:i/>
          <w:iCs/>
        </w:rPr>
        <w:t>aff’g</w:t>
      </w:r>
      <w:r>
        <w:t xml:space="preserve"> </w:t>
      </w:r>
      <w:r>
        <w:lastRenderedPageBreak/>
        <w:t xml:space="preserve">2008 WL 5504695 (W.D.Tex. 2008), </w:t>
      </w:r>
      <w:r>
        <w:rPr>
          <w:i/>
          <w:iCs/>
        </w:rPr>
        <w:t>cert. denied, 2011 WL 1481312, 79 USLW 3610 (May 23, 2011)</w:t>
      </w:r>
      <w:r>
        <w:tab/>
        <w:t>28</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Tax Court Values Limited Partnership Interest in Timberland Partner</w:t>
      </w:r>
      <w:r>
        <w:softHyphen/>
        <w:t xml:space="preserve">ship, With Focus on Relative Use of Net Asset and Discounted Cash Flow Values.  </w:t>
      </w:r>
      <w:r>
        <w:rPr>
          <w:i/>
          <w:iCs/>
        </w:rPr>
        <w:t>Estate of Giustina v. Comm’r</w:t>
      </w:r>
      <w:r>
        <w:t>, T.C. Memo. 2011-141 (June 22, 2011)</w:t>
      </w:r>
      <w:r>
        <w:tab/>
        <w:t>29</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Tax Court Values Interest in Media Business Using Discounted Cash Flow with Appropriate Discounts.  </w:t>
      </w:r>
      <w:r>
        <w:rPr>
          <w:i/>
          <w:iCs/>
        </w:rPr>
        <w:t>Estate of Gallagher v. Comm’r</w:t>
      </w:r>
      <w:r>
        <w:t>, T.C. Memo. 2011-148 (June 28, 2011)</w:t>
      </w:r>
      <w:r>
        <w:tab/>
        <w:t>31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4.</w:t>
      </w:r>
      <w:r>
        <w:tab/>
        <w:t xml:space="preserve">Value of Marital Trust Assets Denied Offset for Value of Breach of Fiduciary Duty Claim Against Decedent.  </w:t>
      </w:r>
      <w:r>
        <w:rPr>
          <w:i/>
          <w:iCs/>
        </w:rPr>
        <w:t>Estate of Foster v. Comm’r</w:t>
      </w:r>
      <w:r>
        <w:t>, T.C. Memo. 2011-95 (April 28, 2011)</w:t>
      </w:r>
      <w:r>
        <w:tab/>
        <w:t>31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5.</w:t>
      </w:r>
      <w:r>
        <w:tab/>
        <w:t xml:space="preserve">Tax Court Allows Discount for 95% Interest in Ranch and Values Other Estate Assets.  </w:t>
      </w:r>
      <w:r>
        <w:rPr>
          <w:i/>
          <w:iCs/>
        </w:rPr>
        <w:t>Estate of Mitchell v. Comm’r</w:t>
      </w:r>
      <w:r>
        <w:t>, T.C. Memo. 2011-94 (April 28, 2011)</w:t>
      </w:r>
      <w:r>
        <w:tab/>
        <w:t>33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6.</w:t>
      </w:r>
      <w:r>
        <w:tab/>
        <w:t>Treasury Finalizes Actuarial Valuation Regulations Reflecting 2000 Actuarial Data.  T.D. 9540, 76 Fed. Reg. 49570 (Aug. 10, 2011)</w:t>
      </w:r>
      <w:r>
        <w:tab/>
        <w:t>34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7.</w:t>
      </w:r>
      <w:r>
        <w:tab/>
        <w:t>IRS Releases Interest Rate Adjustments for Section 2032A.  Rev.  Rul.  2011-17, 2011-33 I.R.B. 160 (Aug. 15, 2011)</w:t>
      </w:r>
      <w:r>
        <w:tab/>
        <w:t>37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8.</w:t>
      </w:r>
      <w:r>
        <w:tab/>
        <w:t>Section 2032A Limitation Adjusted for Inflation.  Rev. Proc. 2010-40 § 3.20, 2010-46 I.R.B. 663 (Nov. 15, 2010)</w:t>
      </w:r>
      <w:r>
        <w:tab/>
        <w:t>37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9.</w:t>
      </w:r>
      <w:r>
        <w:tab/>
        <w:t>Transfer and Lease of Farmland to Qualified Heir Does Not Result in Recapture Tax Under Section 2032A.  PLR 201129016, 201129018, 201129019, 201129020 (July 22, 2011)</w:t>
      </w:r>
      <w:r>
        <w:tab/>
        <w:t>37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10.</w:t>
      </w:r>
      <w:r>
        <w:tab/>
        <w:t>IRS Allows Late Alternate Valuation Date Election, If Made Within One Year of the Return Due Date.  PLRs 201122009 (June 3, 2011) and 201109014 (March 4, 2011)</w:t>
      </w:r>
      <w:r>
        <w:tab/>
        <w:t>38</w:t>
      </w:r>
    </w:p>
    <w:p w:rsidR="00800BE7" w:rsidRDefault="00800BE7">
      <w:pPr>
        <w:pStyle w:val="TOC2"/>
        <w:widowControl/>
        <w:tabs>
          <w:tab w:val="left" w:pos="-1440"/>
          <w:tab w:val="left" w:pos="-720"/>
          <w:tab w:val="left" w:pos="0"/>
          <w:tab w:val="left" w:pos="720"/>
          <w:tab w:val="left" w:pos="1440"/>
          <w:tab w:val="right" w:leader="dot" w:pos="9360"/>
        </w:tabs>
        <w:jc w:val="both"/>
      </w:pPr>
      <w:r>
        <w:t>D.</w:t>
      </w:r>
      <w:r>
        <w:tab/>
        <w:t xml:space="preserve">Family Limited Partnerships (FLPs) and Limited Liability Companies (LLCs) (Code §§ 2031, 2036-2038, 2511, 2512, 2704 </w:t>
      </w:r>
      <w:r>
        <w:rPr>
          <w:i/>
          <w:iCs/>
        </w:rPr>
        <w:t>et alia</w:t>
      </w:r>
      <w:r>
        <w:t>)</w:t>
      </w:r>
      <w:r>
        <w:tab/>
        <w:t>40</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Treasury Would Expand Scope of Section 2704(b) and Ignore More Restrictions, Reducing Valuation Discounts.  Dept. of Treasury, “General Explanations of the Administration’s Fiscal Year 2012 Revenue Proposals” p. 127 (Feb. 14, 2011)</w:t>
      </w:r>
      <w:r>
        <w:tab/>
        <w:t>40</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Misadministration of Partnership Results in Inclusion of Underlying Assets in Donor’s Gross Estate.</w:t>
      </w:r>
      <w:r>
        <w:rPr>
          <w:i/>
          <w:iCs/>
        </w:rPr>
        <w:t xml:space="preserve">  Estate of Jorgensen v. Comm’r</w:t>
      </w:r>
      <w:r>
        <w:t>, 2011 WL 1666930, 107 A.F.T.R.2d 2011-2069 (9</w:t>
      </w:r>
      <w:r>
        <w:rPr>
          <w:vertAlign w:val="superscript"/>
        </w:rPr>
        <w:t>th</w:t>
      </w:r>
      <w:r>
        <w:t xml:space="preserve"> Cir. May 4, 2011) (slip copy), </w:t>
      </w:r>
      <w:r>
        <w:rPr>
          <w:i/>
          <w:iCs/>
        </w:rPr>
        <w:t>aff’g by unpub’d op.</w:t>
      </w:r>
      <w:r>
        <w:t xml:space="preserve"> T.C. Memo. 2009-66; </w:t>
      </w:r>
      <w:r>
        <w:rPr>
          <w:i/>
          <w:iCs/>
        </w:rPr>
        <w:t>Estate of Turner v. Comm’r</w:t>
      </w:r>
      <w:r>
        <w:t>, T.C. Memo. 2011-209 (Aug.  30, 2011)</w:t>
      </w:r>
      <w:r>
        <w:tab/>
        <w:t>43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Ninth Circuit Rejects Step Transaction Aspects of Gift on Formation of a Family Limited Liability, But Agrees with Fact-Based Analysis.  </w:t>
      </w:r>
      <w:r>
        <w:rPr>
          <w:i/>
          <w:iCs/>
        </w:rPr>
        <w:t>Linton v. United States</w:t>
      </w:r>
      <w:r>
        <w:t>, 630 F.3d 1211 (9</w:t>
      </w:r>
      <w:r>
        <w:rPr>
          <w:vertAlign w:val="superscript"/>
        </w:rPr>
        <w:t>th</w:t>
      </w:r>
      <w:r>
        <w:t xml:space="preserve"> Cir. Jan. 21, 2011), </w:t>
      </w:r>
      <w:r>
        <w:rPr>
          <w:i/>
          <w:iCs/>
        </w:rPr>
        <w:t xml:space="preserve">aff’g in part, rev’g in part </w:t>
      </w:r>
      <w:r>
        <w:t>638 F.Supp.2d 1277 (W.D. Wash. 2009)</w:t>
      </w:r>
      <w:r>
        <w:tab/>
        <w:t>49</w:t>
      </w:r>
    </w:p>
    <w:p w:rsidR="00800BE7" w:rsidRDefault="00800BE7">
      <w:pPr>
        <w:pStyle w:val="TOC2"/>
        <w:widowControl/>
        <w:tabs>
          <w:tab w:val="left" w:pos="-1440"/>
          <w:tab w:val="left" w:pos="-720"/>
          <w:tab w:val="left" w:pos="0"/>
          <w:tab w:val="left" w:pos="720"/>
          <w:tab w:val="left" w:pos="1440"/>
          <w:tab w:val="right" w:leader="dot" w:pos="9360"/>
        </w:tabs>
        <w:jc w:val="both"/>
      </w:pPr>
      <w:r>
        <w:t>E.</w:t>
      </w:r>
      <w:r>
        <w:tab/>
        <w:t>Code §§ 2036 - 2038.  Retained Powers and Interests</w:t>
      </w:r>
      <w:r>
        <w:tab/>
        <w:t>53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lastRenderedPageBreak/>
        <w:t>1.</w:t>
      </w:r>
      <w:r>
        <w:tab/>
        <w:t xml:space="preserve">Continued Use of Residence After Termination of QPRT Does Not Result in Estate Taxation, Even Though No Rent Paid.  </w:t>
      </w:r>
      <w:r>
        <w:rPr>
          <w:i/>
          <w:iCs/>
        </w:rPr>
        <w:t>Estate of Riese v. Comm’r</w:t>
      </w:r>
      <w:r>
        <w:t>, T.C. Memo. 2011-60 (March 15, 2011)</w:t>
      </w:r>
      <w:r>
        <w:tab/>
        <w:t>53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 xml:space="preserve">How Not to Produce a Fractional-Interest Discount for a Tenancy-in-Common Interest in Real Estate.  </w:t>
      </w:r>
      <w:r>
        <w:rPr>
          <w:i/>
          <w:iCs/>
        </w:rPr>
        <w:t>Estate of Adler v. Comm’r</w:t>
      </w:r>
      <w:r>
        <w:t>, T.C. Memo. 2011-28 (Jan. 31, 2011)</w:t>
      </w:r>
      <w:r>
        <w:tab/>
        <w:t>55</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Actually Living in the House is a Tough Fact to Get Past.  </w:t>
      </w:r>
      <w:r>
        <w:rPr>
          <w:i/>
          <w:iCs/>
        </w:rPr>
        <w:t>Estate of Van v. Comm’r</w:t>
      </w:r>
      <w:r>
        <w:t>, T.C. Memo. 2011-22 (Jan. 27, 2011)</w:t>
      </w:r>
      <w:r>
        <w:tab/>
        <w:t>56</w:t>
      </w:r>
    </w:p>
    <w:p w:rsidR="00800BE7" w:rsidRDefault="00800BE7">
      <w:pPr>
        <w:pStyle w:val="TOC2"/>
        <w:widowControl/>
        <w:tabs>
          <w:tab w:val="left" w:pos="-1440"/>
          <w:tab w:val="left" w:pos="-720"/>
          <w:tab w:val="left" w:pos="0"/>
          <w:tab w:val="left" w:pos="720"/>
          <w:tab w:val="left" w:pos="1440"/>
          <w:tab w:val="right" w:leader="dot" w:pos="9360"/>
        </w:tabs>
        <w:jc w:val="both"/>
      </w:pPr>
      <w:r>
        <w:t>F.</w:t>
      </w:r>
      <w:r>
        <w:tab/>
        <w:t>Code § 2041.  Powers of Appointment</w:t>
      </w:r>
      <w:r>
        <w:tab/>
        <w:t>57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Right to Withdraw Principal For “Welfare” Is Not a General Power of Appointment. </w:t>
      </w:r>
      <w:r>
        <w:rPr>
          <w:i/>
          <w:iCs/>
        </w:rPr>
        <w:t>Estate of Chancellor v. Comm’r</w:t>
      </w:r>
      <w:r>
        <w:t>, T.C. Memo. 2011-172 (July 14, 2011)</w:t>
      </w:r>
      <w:r>
        <w:tab/>
        <w:t>57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IRS Accepts State Court Reformation to Correct an Inadvertent General Power of Appointment.  PLR 201132017 (Aug. 12, 2011)</w:t>
      </w:r>
      <w:r>
        <w:tab/>
        <w:t>59</w:t>
      </w:r>
    </w:p>
    <w:p w:rsidR="00800BE7" w:rsidRDefault="00800BE7">
      <w:pPr>
        <w:pStyle w:val="TOC2"/>
        <w:widowControl/>
        <w:tabs>
          <w:tab w:val="left" w:pos="-1440"/>
          <w:tab w:val="left" w:pos="-720"/>
          <w:tab w:val="left" w:pos="0"/>
          <w:tab w:val="left" w:pos="720"/>
          <w:tab w:val="left" w:pos="1440"/>
          <w:tab w:val="right" w:leader="dot" w:pos="9360"/>
        </w:tabs>
        <w:jc w:val="both"/>
      </w:pPr>
      <w:r>
        <w:t>G.</w:t>
      </w:r>
      <w:r>
        <w:tab/>
        <w:t>Code § 2042.  Life Insurance Proceeds</w:t>
      </w:r>
      <w:r>
        <w:tab/>
        <w:t>61</w:t>
      </w:r>
    </w:p>
    <w:p w:rsidR="00800BE7" w:rsidRDefault="00800BE7">
      <w:pPr>
        <w:pStyle w:val="TOC3"/>
        <w:widowControl/>
        <w:tabs>
          <w:tab w:val="right" w:leader="dot" w:pos="9360"/>
        </w:tabs>
        <w:jc w:val="both"/>
      </w:pPr>
      <w:r>
        <w:t xml:space="preserve">Right to Designate Beneficiaries is an Incident of Ownership Resulting in Estate Taxation of Life Insurance Proceeds.  </w:t>
      </w:r>
      <w:r>
        <w:rPr>
          <w:i/>
          <w:iCs/>
        </w:rPr>
        <w:t>Estate of Coaxum v. Comm’r</w:t>
      </w:r>
      <w:r>
        <w:t>, T.C. Memo. 2011-135 (June 16, 2011)</w:t>
      </w:r>
      <w:r>
        <w:tab/>
        <w:t>61</w:t>
      </w:r>
    </w:p>
    <w:p w:rsidR="00800BE7" w:rsidRDefault="00800BE7">
      <w:pPr>
        <w:pStyle w:val="TOC2"/>
        <w:widowControl/>
        <w:tabs>
          <w:tab w:val="left" w:pos="-1440"/>
          <w:tab w:val="left" w:pos="-720"/>
          <w:tab w:val="left" w:pos="0"/>
          <w:tab w:val="left" w:pos="720"/>
          <w:tab w:val="left" w:pos="1440"/>
          <w:tab w:val="right" w:leader="dot" w:pos="9360"/>
        </w:tabs>
        <w:jc w:val="both"/>
      </w:pPr>
      <w:r>
        <w:t>H.</w:t>
      </w:r>
      <w:r>
        <w:tab/>
        <w:t>Code § 2053.  Expenses, Indebtedness and Taxes</w:t>
      </w:r>
      <w:r>
        <w:tab/>
        <w:t>62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Palimony Claim Might Be Deductible for Estate Tax Purposes.  </w:t>
      </w:r>
      <w:r>
        <w:rPr>
          <w:i/>
          <w:iCs/>
        </w:rPr>
        <w:t>Shapiro v. United States</w:t>
      </w:r>
      <w:r>
        <w:t>, 634 F.3d 1055 (9</w:t>
      </w:r>
      <w:r>
        <w:rPr>
          <w:vertAlign w:val="superscript"/>
        </w:rPr>
        <w:t>th</w:t>
      </w:r>
      <w:r>
        <w:t xml:space="preserve"> Cir. Feb. 22, 2011)</w:t>
      </w:r>
      <w:r>
        <w:tab/>
        <w:t>62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 xml:space="preserve">Tax Court Denies Advance Deduction of Pending Malpractice Claim Against Decedent’s Estate.  </w:t>
      </w:r>
      <w:r>
        <w:rPr>
          <w:i/>
          <w:iCs/>
        </w:rPr>
        <w:t>Estate of Saunders v. Comm’r</w:t>
      </w:r>
      <w:r>
        <w:t>, 136 T.C. ___ (No. 18) (April 28, 2011)</w:t>
      </w:r>
      <w:r>
        <w:tab/>
        <w:t>63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Estate Denied Deduction for Son's Care Giver Compensation, but May Deduct Administrator's Commission and Some Legal Fees.  </w:t>
      </w:r>
      <w:r>
        <w:rPr>
          <w:i/>
          <w:iCs/>
        </w:rPr>
        <w:t>Estate of Olivo v. Comm’r</w:t>
      </w:r>
      <w:r>
        <w:t>, T.C. Memo. 2011-163 (July 11, 2011)</w:t>
      </w:r>
      <w:r>
        <w:tab/>
        <w:t>64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4.</w:t>
      </w:r>
      <w:r>
        <w:tab/>
        <w:t xml:space="preserve">Deduction for Interest on </w:t>
      </w:r>
      <w:r>
        <w:rPr>
          <w:i/>
          <w:iCs/>
        </w:rPr>
        <w:t xml:space="preserve">Graegin </w:t>
      </w:r>
      <w:r>
        <w:t xml:space="preserve">(and Other) Loans to Pay Estate Taxes.  </w:t>
      </w:r>
      <w:r>
        <w:rPr>
          <w:i/>
          <w:iCs/>
        </w:rPr>
        <w:t>Estate of Stick v. Comm’r</w:t>
      </w:r>
      <w:r>
        <w:t xml:space="preserve">, T.C. Memo. 2010-192 (Sept. 1, 2010); </w:t>
      </w:r>
      <w:r>
        <w:rPr>
          <w:i/>
          <w:iCs/>
        </w:rPr>
        <w:t>Keller v. United States</w:t>
      </w:r>
      <w:r>
        <w:t>, 2010 WL 3700841, 106 A.F.T.R.2d 2010-6309 (S.D. Tex. Sept. 14, 2010) (slip copy)</w:t>
      </w:r>
      <w:r>
        <w:tab/>
        <w:t>66</w:t>
      </w:r>
    </w:p>
    <w:p w:rsidR="00800BE7" w:rsidRDefault="00800BE7">
      <w:pPr>
        <w:pStyle w:val="TOC2"/>
        <w:widowControl/>
        <w:tabs>
          <w:tab w:val="left" w:pos="-1440"/>
          <w:tab w:val="left" w:pos="-720"/>
          <w:tab w:val="left" w:pos="0"/>
          <w:tab w:val="left" w:pos="720"/>
          <w:tab w:val="left" w:pos="1440"/>
          <w:tab w:val="right" w:leader="dot" w:pos="9360"/>
        </w:tabs>
        <w:jc w:val="both"/>
      </w:pPr>
      <w:r>
        <w:t>I.</w:t>
      </w:r>
      <w:r>
        <w:tab/>
        <w:t>Code §§ 2055, 2522.  Charitable Deduction</w:t>
      </w:r>
      <w:r>
        <w:tab/>
        <w:t>67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Estate Can Deduct Amount Paid to Charitable Trust in Settlement of Dispute Over Will With No Residuary Clause.  </w:t>
      </w:r>
      <w:r>
        <w:rPr>
          <w:i/>
          <w:iCs/>
        </w:rPr>
        <w:t>Estate of Palumbo v. United States</w:t>
      </w:r>
      <w:r>
        <w:t>, 2011 WL 860418, 107 A.F.T.R.2d 2011-1274 (W.D. Pa. March 11, 2011) (slip copy)</w:t>
      </w:r>
      <w:r>
        <w:tab/>
        <w:t>67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 xml:space="preserve">IRS Permits </w:t>
      </w:r>
      <w:r>
        <w:rPr>
          <w:i/>
          <w:iCs/>
        </w:rPr>
        <w:t>Post Mortem</w:t>
      </w:r>
      <w:r>
        <w:t xml:space="preserve"> Reformation to Change Nondeductible Interests into Qualified Deductible Charitable Split-Interests.  PLR 201125007 (June 24, 2011); PLR 201115003 (April 15, 2011)</w:t>
      </w:r>
      <w:r>
        <w:tab/>
        <w:t>69</w:t>
      </w:r>
    </w:p>
    <w:p w:rsidR="00800BE7" w:rsidRDefault="00800BE7">
      <w:pPr>
        <w:pStyle w:val="TOC2"/>
        <w:widowControl/>
        <w:tabs>
          <w:tab w:val="left" w:pos="-1440"/>
          <w:tab w:val="left" w:pos="-720"/>
          <w:tab w:val="left" w:pos="0"/>
          <w:tab w:val="left" w:pos="720"/>
          <w:tab w:val="left" w:pos="1440"/>
          <w:tab w:val="right" w:leader="dot" w:pos="9360"/>
        </w:tabs>
        <w:jc w:val="both"/>
      </w:pPr>
      <w:r>
        <w:t>J.</w:t>
      </w:r>
      <w:r>
        <w:tab/>
        <w:t>Code §§ 2056, 2044, 2519, 2523, 2207A.  Marital Deduction</w:t>
      </w:r>
      <w:r>
        <w:tab/>
        <w:t>71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Marital Deduction Reduced Because Decedent’s Statement of  “Desire” Treated as a Specific Bequest.  TAM 201126030 (July 1, 2011)</w:t>
      </w:r>
      <w:r>
        <w:tab/>
        <w:t>71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lastRenderedPageBreak/>
        <w:t>2.</w:t>
      </w:r>
      <w:r>
        <w:tab/>
        <w:t>IRS Agrees to Void Unnecessary QTIP Elections.  PLRs 201131011 (Aug. 5, 2011) and  201112001 (March 25, 2011)</w:t>
      </w:r>
      <w:r>
        <w:tab/>
        <w:t>73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IRS Rescinds Ruling that Allowed Late </w:t>
      </w:r>
      <w:r>
        <w:rPr>
          <w:i/>
          <w:iCs/>
        </w:rPr>
        <w:t>Inter Vivos</w:t>
      </w:r>
      <w:r>
        <w:t xml:space="preserve"> QTIP Election. PLR 201109012 (March 4, 2011), rescinding PLR 201025021 (June 25, 2010)</w:t>
      </w:r>
      <w:r>
        <w:tab/>
        <w:t>74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4.</w:t>
      </w:r>
      <w:r>
        <w:tab/>
        <w:t>IRS Approves Marital Deduction for Assets Passing Pursuant to Family Settlement Agreement.  PLR 201046004 (Nov. 19, 2010)</w:t>
      </w:r>
      <w:r>
        <w:tab/>
        <w:t>75</w:t>
      </w:r>
    </w:p>
    <w:p w:rsidR="00800BE7" w:rsidRDefault="00800BE7">
      <w:pPr>
        <w:pStyle w:val="TOC2"/>
        <w:widowControl/>
        <w:tabs>
          <w:tab w:val="left" w:pos="-1440"/>
          <w:tab w:val="left" w:pos="-720"/>
          <w:tab w:val="left" w:pos="0"/>
          <w:tab w:val="left" w:pos="720"/>
          <w:tab w:val="left" w:pos="1440"/>
          <w:tab w:val="right" w:leader="dot" w:pos="9360"/>
        </w:tabs>
        <w:jc w:val="both"/>
      </w:pPr>
      <w:r>
        <w:t>K.</w:t>
      </w:r>
      <w:r>
        <w:tab/>
        <w:t>Estate Tax Procedures</w:t>
      </w:r>
      <w:r>
        <w:tab/>
        <w:t>77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Only One Bite of the Apply – Estate Tax Refund Suit is Untimely Because Executor Not Entitled to Second Estate Tax Filing Extension.  </w:t>
      </w:r>
      <w:r>
        <w:rPr>
          <w:i/>
          <w:iCs/>
        </w:rPr>
        <w:t>Dickow v. United States</w:t>
      </w:r>
      <w:r>
        <w:t>, ___ F.3d ___, 2011 WL 3632933, 108 A.F.T.R.2d 2011-5874 (1</w:t>
      </w:r>
      <w:r>
        <w:rPr>
          <w:vertAlign w:val="superscript"/>
        </w:rPr>
        <w:t>st</w:t>
      </w:r>
      <w:r>
        <w:t xml:space="preserve"> Cir.  Aug. 19, 2011)</w:t>
      </w:r>
      <w:r>
        <w:tab/>
        <w:t>77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Fifth Circuit Agrees that Tax Court Lacked Jurisdiction Over Revoca</w:t>
      </w:r>
      <w:r>
        <w:softHyphen/>
        <w:t xml:space="preserve">ble Trust, Despite Claim of Equitable Recoupment.  </w:t>
      </w:r>
      <w:r>
        <w:rPr>
          <w:i/>
          <w:iCs/>
        </w:rPr>
        <w:t>Estate of Anderson v. Comm’r</w:t>
      </w:r>
      <w:r>
        <w:t>, 2011 WL 3241949 (5</w:t>
      </w:r>
      <w:r>
        <w:rPr>
          <w:vertAlign w:val="superscript"/>
        </w:rPr>
        <w:t>th</w:t>
      </w:r>
      <w:r>
        <w:t xml:space="preserve"> Cir. July 27, 2011) (slip opinion)</w:t>
      </w:r>
      <w:r>
        <w:tab/>
        <w:t>78</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Estate Tax Refund Suit Dismissed as Untimely.  </w:t>
      </w:r>
      <w:r>
        <w:rPr>
          <w:i/>
          <w:iCs/>
        </w:rPr>
        <w:t>Green v. United States</w:t>
      </w:r>
      <w:r>
        <w:t xml:space="preserve">, 2011 WL 2621003 (10th Cir., July 5, 2011) (slip copy), </w:t>
      </w:r>
      <w:r>
        <w:rPr>
          <w:i/>
          <w:iCs/>
        </w:rPr>
        <w:t xml:space="preserve">aff’g by unpub’d order </w:t>
      </w:r>
      <w:r>
        <w:t>2010 WL 3258566, 106 A.F.T.R.2d 2010-5906 (N.D. Okla., 2010)</w:t>
      </w:r>
      <w:r>
        <w:tab/>
        <w:t>79</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4.</w:t>
      </w:r>
      <w:r>
        <w:tab/>
        <w:t xml:space="preserve">Late Payment Penalties Assessed Against Estate Because of Deficient Request for Extension.  </w:t>
      </w:r>
      <w:r>
        <w:rPr>
          <w:i/>
          <w:iCs/>
        </w:rPr>
        <w:t>Baccei v. United States</w:t>
      </w:r>
      <w:r>
        <w:t>, 632 F.3d 1140 (9</w:t>
      </w:r>
      <w:r>
        <w:rPr>
          <w:vertAlign w:val="superscript"/>
        </w:rPr>
        <w:t>th</w:t>
      </w:r>
      <w:r>
        <w:t xml:space="preserve"> Cir. Feb. 16, 2011), </w:t>
      </w:r>
      <w:r>
        <w:rPr>
          <w:i/>
          <w:iCs/>
        </w:rPr>
        <w:t xml:space="preserve">aff’g </w:t>
      </w:r>
      <w:r>
        <w:t xml:space="preserve">2008 WL 2561876, 101 A.F.T.R.2d 2008-2717 (N.D. Cal. 2008), </w:t>
      </w:r>
      <w:r>
        <w:rPr>
          <w:i/>
          <w:iCs/>
        </w:rPr>
        <w:t xml:space="preserve">further order </w:t>
      </w:r>
      <w:r>
        <w:t>2008 WL 4345113, 102 A.F.T.R.2d 2008-5801 (N.D. Cal. 2008)</w:t>
      </w:r>
      <w:r>
        <w:tab/>
        <w:t>81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5.</w:t>
      </w:r>
      <w:r>
        <w:tab/>
        <w:t xml:space="preserve">Fourth Circuit Affirms Delay Penalty Against Attorney Who Made Misrepresentations to Both Tax Court and State Court.  </w:t>
      </w:r>
      <w:r>
        <w:rPr>
          <w:i/>
          <w:iCs/>
        </w:rPr>
        <w:t>Estate of Allison v. Comm’r</w:t>
      </w:r>
      <w:r>
        <w:t>, 403 Fed.Appx. 866 (4</w:t>
      </w:r>
      <w:r>
        <w:rPr>
          <w:vertAlign w:val="superscript"/>
        </w:rPr>
        <w:t>th</w:t>
      </w:r>
      <w:r>
        <w:t xml:space="preserve"> Cir. Dec. 4, 2010), </w:t>
      </w:r>
      <w:r>
        <w:rPr>
          <w:i/>
          <w:iCs/>
        </w:rPr>
        <w:t>aff’g per curiam without opinion</w:t>
      </w:r>
      <w:r>
        <w:t>, T.C. Memo 2008-149</w:t>
      </w:r>
      <w:r>
        <w:tab/>
        <w:t>82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6.</w:t>
      </w:r>
      <w:r>
        <w:tab/>
        <w:t xml:space="preserve">Distinguishing Estate Tax Payment from Estate Tax Deposit Can Determine Whether Statute of Limitations Bars Refund Claim.  </w:t>
      </w:r>
      <w:r>
        <w:rPr>
          <w:i/>
          <w:iCs/>
        </w:rPr>
        <w:t>Boensel v.  United States</w:t>
      </w:r>
      <w:r>
        <w:t>, ___ Fed. Cl. ___, 2011 WL 3438401, 108 A.F.T.R.2d 2011-5626 (Fed. Cl.  Aug.  5, 2011)</w:t>
      </w:r>
      <w:r>
        <w:tab/>
        <w:t>83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7.</w:t>
      </w:r>
      <w:r>
        <w:tab/>
        <w:t xml:space="preserve">Government Can Decide After Initial Trial to Contest $12 Million Estate Tax Deduction for Executor’s and Attorneys’ Fees.  </w:t>
      </w:r>
      <w:r>
        <w:rPr>
          <w:i/>
          <w:iCs/>
        </w:rPr>
        <w:t>Keller v. United States</w:t>
      </w:r>
      <w:r>
        <w:t>, 2011 WL 1642189, 107 A.F.T.R.2d 2011-2025 (S.D. Tex. April 29, 2011) (slip opinion)</w:t>
      </w:r>
      <w:r>
        <w:tab/>
        <w:t>84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8.</w:t>
      </w:r>
      <w:r>
        <w:tab/>
        <w:t>IRS Issues Interim Guidance on Referrals for Certain Art Appraisal Services.  SBSE Memo 04-0111-008 (Jan. 27, 2011)</w:t>
      </w:r>
      <w:r>
        <w:tab/>
        <w:t>84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9.</w:t>
      </w:r>
      <w:r>
        <w:tab/>
        <w:t>Two Percent Interest Rate on Deferred Estate Taxes on Closely- Held Business Adjusted for Inflation. Rev. Proc. 2010-40 § 3.27, 2010-46 I.R.B. 663 (Nov. 15, 2010)</w:t>
      </w:r>
      <w:r>
        <w:tab/>
        <w:t>84</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II.</w:t>
      </w:r>
      <w:r>
        <w:tab/>
        <w:t>GIFT TAXES</w:t>
      </w:r>
      <w:r>
        <w:tab/>
        <w:t>85</w:t>
      </w:r>
    </w:p>
    <w:p w:rsidR="00800BE7" w:rsidRDefault="00800BE7">
      <w:pPr>
        <w:pStyle w:val="TOC2"/>
        <w:widowControl/>
        <w:tabs>
          <w:tab w:val="left" w:pos="-1440"/>
          <w:tab w:val="left" w:pos="-720"/>
          <w:tab w:val="left" w:pos="0"/>
          <w:tab w:val="left" w:pos="720"/>
          <w:tab w:val="left" w:pos="1440"/>
          <w:tab w:val="right" w:leader="dot" w:pos="9360"/>
        </w:tabs>
        <w:jc w:val="both"/>
      </w:pPr>
      <w:r>
        <w:lastRenderedPageBreak/>
        <w:t>A.</w:t>
      </w:r>
      <w:r>
        <w:tab/>
        <w:t>Code § 2501.  Taxable Gifts</w:t>
      </w:r>
      <w:r>
        <w:tab/>
        <w:t>85</w:t>
      </w:r>
    </w:p>
    <w:p w:rsidR="00800BE7" w:rsidRDefault="00800BE7">
      <w:pPr>
        <w:pStyle w:val="TOC3"/>
        <w:widowControl/>
        <w:tabs>
          <w:tab w:val="right" w:leader="dot" w:pos="9360"/>
        </w:tabs>
        <w:jc w:val="both"/>
      </w:pPr>
      <w:r>
        <w:t>IRS Adds Gift Tax Consequences of Decanting to No-Ruling List.  Rev. Proc. 2011-3, 2011-1 I.R.B. 111 (Jan. 3, 2011)</w:t>
      </w:r>
      <w:r>
        <w:tab/>
        <w:t>85</w:t>
      </w:r>
    </w:p>
    <w:p w:rsidR="00800BE7" w:rsidRDefault="00800BE7">
      <w:pPr>
        <w:pStyle w:val="TOC2"/>
        <w:widowControl/>
        <w:tabs>
          <w:tab w:val="left" w:pos="-1440"/>
          <w:tab w:val="left" w:pos="-720"/>
          <w:tab w:val="left" w:pos="0"/>
          <w:tab w:val="left" w:pos="720"/>
          <w:tab w:val="left" w:pos="1440"/>
          <w:tab w:val="right" w:leader="dot" w:pos="9360"/>
        </w:tabs>
        <w:jc w:val="both"/>
      </w:pPr>
      <w:r>
        <w:t>B.</w:t>
      </w:r>
      <w:r>
        <w:tab/>
        <w:t>Code § 2503.  Gift Tax Annual Exclusion</w:t>
      </w:r>
      <w:r>
        <w:tab/>
        <w:t>85</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Annual Exclusion for Most Gifts Not Adjusted for Inflation; Exclusion for Gifts to Non-Citizen Spouse Increased.  Rev. Proc. 2010-40 § 3.21,  2010-46 I.R.B. 663 (Nov. 15, 2010)</w:t>
      </w:r>
      <w:r>
        <w:tab/>
        <w:t>86</w:t>
      </w:r>
    </w:p>
    <w:p w:rsidR="00800BE7" w:rsidRDefault="00800BE7">
      <w:pPr>
        <w:pStyle w:val="TOC2"/>
        <w:widowControl/>
        <w:tabs>
          <w:tab w:val="left" w:pos="-1440"/>
          <w:tab w:val="left" w:pos="-720"/>
          <w:tab w:val="left" w:pos="0"/>
          <w:tab w:val="left" w:pos="720"/>
          <w:tab w:val="left" w:pos="1440"/>
          <w:tab w:val="right" w:leader="dot" w:pos="9360"/>
        </w:tabs>
        <w:jc w:val="both"/>
      </w:pPr>
      <w:r>
        <w:t>C.</w:t>
      </w:r>
      <w:r>
        <w:tab/>
        <w:t>Code § 2512.  Valuation of Gifts</w:t>
      </w:r>
      <w:r>
        <w:tab/>
        <w:t>86</w:t>
      </w:r>
    </w:p>
    <w:p w:rsidR="00800BE7" w:rsidRDefault="00800BE7">
      <w:pPr>
        <w:pStyle w:val="TOC3"/>
        <w:widowControl/>
        <w:tabs>
          <w:tab w:val="right" w:leader="dot" w:pos="9360"/>
        </w:tabs>
        <w:jc w:val="both"/>
      </w:pPr>
      <w:r>
        <w:t xml:space="preserve">Defined Valuation Formula Clauses Sustained by Tax Court Again.  </w:t>
      </w:r>
      <w:r>
        <w:rPr>
          <w:i/>
          <w:iCs/>
        </w:rPr>
        <w:t>Estate of Petter v. Comm’r</w:t>
      </w:r>
      <w:r>
        <w:t>, ___ F.3d ___, 2011 WL 3438401, 108 A.F.T.R.2d 2011-5593 (9</w:t>
      </w:r>
      <w:r>
        <w:rPr>
          <w:vertAlign w:val="superscript"/>
        </w:rPr>
        <w:t>th</w:t>
      </w:r>
      <w:r>
        <w:t xml:space="preserve"> Cir. Aug. 4, 2011),</w:t>
      </w:r>
      <w:r>
        <w:rPr>
          <w:i/>
          <w:iCs/>
        </w:rPr>
        <w:t xml:space="preserve"> aff’g</w:t>
      </w:r>
      <w:r>
        <w:t xml:space="preserve"> T.C. Memo. 2009-280; </w:t>
      </w:r>
      <w:r>
        <w:rPr>
          <w:i/>
          <w:iCs/>
        </w:rPr>
        <w:t>Hendrix v. Comm’r</w:t>
      </w:r>
      <w:r>
        <w:t>, T.C. Memo. 2011-133 (June 15, 2011)</w:t>
      </w:r>
      <w:r>
        <w:tab/>
        <w:t>86</w:t>
      </w:r>
    </w:p>
    <w:p w:rsidR="00800BE7" w:rsidRDefault="00800BE7">
      <w:pPr>
        <w:pStyle w:val="TOC2"/>
        <w:widowControl/>
        <w:tabs>
          <w:tab w:val="left" w:pos="-1440"/>
          <w:tab w:val="left" w:pos="-720"/>
          <w:tab w:val="left" w:pos="0"/>
          <w:tab w:val="left" w:pos="720"/>
          <w:tab w:val="left" w:pos="1440"/>
          <w:tab w:val="right" w:leader="dot" w:pos="9360"/>
        </w:tabs>
        <w:jc w:val="both"/>
      </w:pPr>
      <w:r>
        <w:t>D.</w:t>
      </w:r>
      <w:r>
        <w:tab/>
        <w:t>Code § 2518.  Disclaimers</w:t>
      </w:r>
      <w:r>
        <w:tab/>
        <w:t>95</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Disclaimer of Share of Residue is Qualified Because of Anti-Lapse Statute and Testator’s Intent.  </w:t>
      </w:r>
      <w:r>
        <w:rPr>
          <w:i/>
          <w:iCs/>
        </w:rPr>
        <w:t>Estate of Tatum, Jr. v.  United States,</w:t>
      </w:r>
      <w:r>
        <w:t xml:space="preserve"> 2011 WL 3444095 (5</w:t>
      </w:r>
      <w:r>
        <w:rPr>
          <w:vertAlign w:val="superscript"/>
        </w:rPr>
        <w:t>th</w:t>
      </w:r>
      <w:r>
        <w:t xml:space="preserve"> Cir.  Aug. 8, 2011), </w:t>
      </w:r>
      <w:r>
        <w:rPr>
          <w:i/>
          <w:iCs/>
        </w:rPr>
        <w:t>rev’g and rem’g per curiam</w:t>
      </w:r>
      <w:r>
        <w:t xml:space="preserve"> 2010 WL 3942738, 106 A.F.T.R.2d 2010-6556 (S.D. Miss. Oct. 7, 2010)</w:t>
      </w:r>
      <w:r>
        <w:tab/>
        <w:t>95</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Sweeping of Required Minimum Distribution into Disclaimant’s Bank Account Does Not Preclude Qualified Disclaimer of Part of Retirement Plan Benefits.  PLR 201125009 (June 24, 2011)</w:t>
      </w:r>
      <w:r>
        <w:tab/>
        <w:t>96</w:t>
      </w:r>
    </w:p>
    <w:p w:rsidR="00800BE7" w:rsidRDefault="00800BE7">
      <w:pPr>
        <w:pStyle w:val="TOC2"/>
        <w:widowControl/>
        <w:tabs>
          <w:tab w:val="left" w:pos="-1440"/>
          <w:tab w:val="left" w:pos="-720"/>
          <w:tab w:val="left" w:pos="0"/>
          <w:tab w:val="left" w:pos="720"/>
          <w:tab w:val="left" w:pos="1440"/>
          <w:tab w:val="right" w:leader="dot" w:pos="9360"/>
        </w:tabs>
        <w:jc w:val="both"/>
      </w:pPr>
      <w:r>
        <w:t>E.</w:t>
      </w:r>
      <w:r>
        <w:tab/>
        <w:t>Gift Tax Procedures</w:t>
      </w:r>
      <w:r>
        <w:tab/>
        <w:t>97</w:t>
      </w:r>
    </w:p>
    <w:p w:rsidR="00800BE7" w:rsidRDefault="00800BE7">
      <w:pPr>
        <w:pStyle w:val="TOC3"/>
        <w:widowControl/>
        <w:tabs>
          <w:tab w:val="right" w:leader="dot" w:pos="9360"/>
        </w:tabs>
        <w:jc w:val="both"/>
      </w:pPr>
      <w:r>
        <w:t xml:space="preserve">Federal Court Refuses to Order Release of California Property Tax Records to Catch Gift Tax Non-Filers.  </w:t>
      </w:r>
      <w:r>
        <w:rPr>
          <w:i/>
          <w:iCs/>
        </w:rPr>
        <w:t>In re Tax Liabilities of Does</w:t>
      </w:r>
      <w:r>
        <w:t>, 2011 WL 2119091, 107 A.F.T.R.2d 2011-2318 (E.D. Cal. May 23, 2011) (slip copy)</w:t>
      </w:r>
      <w:r>
        <w:tab/>
        <w:t>97</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III.</w:t>
      </w:r>
      <w:r>
        <w:tab/>
        <w:t>GENERATION-SKIPPING TRANSFER TAXES</w:t>
      </w:r>
      <w:r>
        <w:tab/>
        <w:t>98</w:t>
      </w:r>
    </w:p>
    <w:p w:rsidR="00800BE7" w:rsidRDefault="00800BE7">
      <w:pPr>
        <w:pStyle w:val="TOC2"/>
        <w:widowControl/>
        <w:tabs>
          <w:tab w:val="left" w:pos="-1440"/>
          <w:tab w:val="left" w:pos="-720"/>
          <w:tab w:val="left" w:pos="0"/>
          <w:tab w:val="left" w:pos="720"/>
          <w:tab w:val="left" w:pos="1440"/>
          <w:tab w:val="right" w:leader="dot" w:pos="9360"/>
        </w:tabs>
        <w:jc w:val="both"/>
      </w:pPr>
      <w:r>
        <w:t>A.</w:t>
      </w:r>
      <w:r>
        <w:tab/>
        <w:t>Code § 2601.  Effective Date Protection</w:t>
      </w:r>
      <w:r>
        <w:tab/>
        <w:t>98</w:t>
      </w:r>
    </w:p>
    <w:p w:rsidR="00800BE7" w:rsidRDefault="00800BE7">
      <w:pPr>
        <w:pStyle w:val="TOC3"/>
        <w:widowControl/>
        <w:tabs>
          <w:tab w:val="right" w:leader="dot" w:pos="9360"/>
        </w:tabs>
        <w:jc w:val="both"/>
      </w:pPr>
      <w:r>
        <w:t xml:space="preserve">General Power of Appointment Eliminates Effective Date Protection for Generation-Skipping Trust.  </w:t>
      </w:r>
      <w:r>
        <w:rPr>
          <w:i/>
          <w:iCs/>
        </w:rPr>
        <w:t>Estate of Timken v. United States</w:t>
      </w:r>
      <w:r>
        <w:t>, 601 F.3d 431 (6</w:t>
      </w:r>
      <w:r>
        <w:rPr>
          <w:vertAlign w:val="superscript"/>
        </w:rPr>
        <w:t>th</w:t>
      </w:r>
      <w:r>
        <w:t xml:space="preserve"> Cir. April 2, 2010), </w:t>
      </w:r>
      <w:r>
        <w:rPr>
          <w:i/>
          <w:iCs/>
        </w:rPr>
        <w:t xml:space="preserve">aff’g </w:t>
      </w:r>
      <w:r>
        <w:t>630 F.Supp.2d 823 (N.D. Ohio, 2009),</w:t>
      </w:r>
      <w:r>
        <w:rPr>
          <w:i/>
          <w:iCs/>
        </w:rPr>
        <w:t xml:space="preserve"> cert. denied</w:t>
      </w:r>
      <w:r>
        <w:t>, 131 S.Ct. 905, 2011 WL 55405, 79 USLW 3149, 79 USLW 3394, 79 USLW 3399 (Jan. 10, 2011)</w:t>
      </w:r>
      <w:r>
        <w:tab/>
        <w:t>98</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IRS Adds GST Tax Consequences of Decanting to No-Ruling List.  Rev. Proc. 2011-3, 2011-1 I.R.B. 111 (Jan. 3, 2011)</w:t>
      </w:r>
      <w:r>
        <w:tab/>
        <w:t>100</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Early Partial Distribution to Remainder Beneficiaries Does Not Void GST Effective Date Protection.  PLR 201122007 (June 3, 2011)</w:t>
      </w:r>
      <w:r>
        <w:tab/>
        <w:t>100</w:t>
      </w:r>
    </w:p>
    <w:p w:rsidR="00800BE7" w:rsidRDefault="00800BE7">
      <w:pPr>
        <w:pStyle w:val="TOC2"/>
        <w:widowControl/>
        <w:tabs>
          <w:tab w:val="left" w:pos="-1440"/>
          <w:tab w:val="left" w:pos="-720"/>
          <w:tab w:val="left" w:pos="0"/>
          <w:tab w:val="left" w:pos="720"/>
          <w:tab w:val="left" w:pos="1440"/>
          <w:tab w:val="right" w:leader="dot" w:pos="9360"/>
        </w:tabs>
        <w:jc w:val="both"/>
      </w:pPr>
      <w:r>
        <w:t>B.</w:t>
      </w:r>
      <w:r>
        <w:tab/>
        <w:t>Code §§ 2632.  Special Rules for Allocation of GST Exemption</w:t>
      </w:r>
      <w:r>
        <w:tab/>
        <w:t>102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IRS Provides a Particularly Good Illustration of the Operation of Both the Automatic and Individual Allocation Rules.  PLR 201115005 (April 15, 2011)</w:t>
      </w:r>
      <w:r>
        <w:tab/>
        <w:t>102</w:t>
      </w:r>
    </w:p>
    <w:p w:rsidR="00800BE7" w:rsidRDefault="00800BE7">
      <w:pPr>
        <w:pStyle w:val="TOC2"/>
        <w:widowControl/>
        <w:tabs>
          <w:tab w:val="left" w:pos="-1440"/>
          <w:tab w:val="left" w:pos="-720"/>
          <w:tab w:val="left" w:pos="0"/>
          <w:tab w:val="left" w:pos="720"/>
          <w:tab w:val="left" w:pos="1440"/>
          <w:tab w:val="right" w:leader="dot" w:pos="9360"/>
        </w:tabs>
        <w:jc w:val="both"/>
      </w:pPr>
      <w:r>
        <w:t>C.</w:t>
      </w:r>
      <w:r>
        <w:tab/>
        <w:t>Code § 2642.  Inclusion Ratio</w:t>
      </w:r>
      <w:r>
        <w:tab/>
        <w:t>103</w:t>
      </w:r>
    </w:p>
    <w:p w:rsidR="00800BE7" w:rsidRDefault="00800BE7">
      <w:pPr>
        <w:pStyle w:val="TOC3"/>
        <w:widowControl/>
        <w:tabs>
          <w:tab w:val="right" w:leader="dot" w:pos="9360"/>
        </w:tabs>
        <w:jc w:val="both"/>
      </w:pPr>
      <w:r>
        <w:lastRenderedPageBreak/>
        <w:t>President’s 2012 Budget Proposals Include 90-Year Limit on GST Inclusion Ratio.  Dept. of Treasury, “General Explanations of the Administra</w:t>
      </w:r>
      <w:r>
        <w:softHyphen/>
        <w:t>tion’s Fiscal Year 2012 Revenue Proposals” pp. 129-130 (Feb. 14, 2011)</w:t>
      </w:r>
      <w:r>
        <w:tab/>
        <w:t>103</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IV.</w:t>
      </w:r>
      <w:r>
        <w:tab/>
        <w:t>CHAPTER 14.  SPECIAL VALUATION RULES</w:t>
      </w:r>
      <w:r>
        <w:tab/>
        <w:t>104</w:t>
      </w:r>
    </w:p>
    <w:p w:rsidR="00800BE7" w:rsidRDefault="00800BE7">
      <w:pPr>
        <w:pStyle w:val="TOC2"/>
        <w:widowControl/>
        <w:tabs>
          <w:tab w:val="left" w:pos="-1440"/>
          <w:tab w:val="left" w:pos="-720"/>
          <w:tab w:val="left" w:pos="0"/>
          <w:tab w:val="left" w:pos="720"/>
          <w:tab w:val="left" w:pos="1440"/>
          <w:tab w:val="right" w:leader="dot" w:pos="9360"/>
        </w:tabs>
        <w:jc w:val="both"/>
      </w:pPr>
      <w:r>
        <w:t>A.</w:t>
      </w:r>
      <w:r>
        <w:tab/>
        <w:t>Code § 2702.  Trusts with Reserved Interests</w:t>
      </w:r>
      <w:r>
        <w:tab/>
        <w:t>104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Treasury 2011 Budget Proposal and Several 2010 Bills Would Require 10-Year Term for GRATs and Eliminate Zero-Gift GRATs. Dept. of Treasury, “General Explanations of the Administration’s Fiscal Year 2012 Revenue Proposals” p. 128 (Feb. 14, 2011); S.1286, 112</w:t>
      </w:r>
      <w:r>
        <w:rPr>
          <w:vertAlign w:val="superscript"/>
        </w:rPr>
        <w:t>th</w:t>
      </w:r>
      <w:r>
        <w:t xml:space="preserve"> Cong., 1</w:t>
      </w:r>
      <w:r>
        <w:rPr>
          <w:vertAlign w:val="superscript"/>
        </w:rPr>
        <w:t>st</w:t>
      </w:r>
      <w:r>
        <w:t xml:space="preserve"> Sess. (June 28, 2011).</w:t>
      </w:r>
      <w:r>
        <w:tab/>
        <w:t>104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Return QPRT Continues to be Sustained.  PLRs 201131006 (Aug. 5, 2011), 201129017 (July 22, 2011) and 201118014 (May 6, 2011)</w:t>
      </w:r>
      <w:r>
        <w:tab/>
        <w:t>105</w:t>
      </w:r>
    </w:p>
    <w:p w:rsidR="00800BE7" w:rsidRDefault="00800BE7">
      <w:pPr>
        <w:pStyle w:val="TOC2"/>
        <w:widowControl/>
        <w:tabs>
          <w:tab w:val="left" w:pos="-1440"/>
          <w:tab w:val="left" w:pos="-720"/>
          <w:tab w:val="left" w:pos="0"/>
          <w:tab w:val="left" w:pos="720"/>
          <w:tab w:val="left" w:pos="1440"/>
          <w:tab w:val="right" w:leader="dot" w:pos="9360"/>
        </w:tabs>
        <w:jc w:val="both"/>
      </w:pPr>
      <w:r>
        <w:t>B.</w:t>
      </w:r>
      <w:r>
        <w:tab/>
        <w:t>Code § 2703.  Restrictions on Transfer</w:t>
      </w:r>
      <w:r>
        <w:tab/>
        <w:t>109</w:t>
      </w:r>
    </w:p>
    <w:p w:rsidR="00800BE7" w:rsidRDefault="00800BE7">
      <w:pPr>
        <w:pStyle w:val="TOC3"/>
        <w:widowControl/>
        <w:tabs>
          <w:tab w:val="right" w:leader="dot" w:pos="9360"/>
        </w:tabs>
        <w:jc w:val="both"/>
      </w:pPr>
      <w:r>
        <w:t xml:space="preserve">Buy-Sell Restrictions Ignored Under Section 2703 Because LLC Was Not a </w:t>
      </w:r>
      <w:r>
        <w:rPr>
          <w:i/>
          <w:iCs/>
        </w:rPr>
        <w:t xml:space="preserve">Bona Fide </w:t>
      </w:r>
      <w:r>
        <w:t xml:space="preserve">Business.  </w:t>
      </w:r>
      <w:r>
        <w:rPr>
          <w:i/>
          <w:iCs/>
        </w:rPr>
        <w:t>Fisher v. United States</w:t>
      </w:r>
      <w:r>
        <w:t>, 2010 WL 3522952, 106 A.F.T.R. 2d 2010-6144 (S.D. Ind. Sept. 1, 2010) (slip copy)</w:t>
      </w:r>
      <w:r>
        <w:tab/>
        <w:t>109</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V.</w:t>
      </w:r>
      <w:r>
        <w:tab/>
        <w:t>INCOME TAXES</w:t>
      </w:r>
      <w:r>
        <w:tab/>
        <w:t>110</w:t>
      </w:r>
    </w:p>
    <w:p w:rsidR="00800BE7" w:rsidRDefault="00800BE7">
      <w:pPr>
        <w:pStyle w:val="TOC2"/>
        <w:widowControl/>
        <w:tabs>
          <w:tab w:val="left" w:pos="-1440"/>
          <w:tab w:val="left" w:pos="-720"/>
          <w:tab w:val="left" w:pos="0"/>
          <w:tab w:val="left" w:pos="720"/>
          <w:tab w:val="left" w:pos="1440"/>
          <w:tab w:val="right" w:leader="dot" w:pos="9360"/>
        </w:tabs>
        <w:jc w:val="both"/>
      </w:pPr>
      <w:r>
        <w:t>A.</w:t>
      </w:r>
      <w:r>
        <w:tab/>
        <w:t>Code § 1.  Income Tax Rates</w:t>
      </w:r>
      <w:r>
        <w:tab/>
        <w:t>110</w:t>
      </w:r>
    </w:p>
    <w:p w:rsidR="00800BE7" w:rsidRDefault="00800BE7">
      <w:pPr>
        <w:pStyle w:val="TOC3"/>
        <w:widowControl/>
        <w:tabs>
          <w:tab w:val="right" w:leader="dot" w:pos="9360"/>
        </w:tabs>
        <w:jc w:val="both"/>
      </w:pPr>
      <w:r>
        <w:t>Income Tax Rates Adjusted for Inflation.  Rev. Proc. 2011-12 § 2.01, 2010-2 I.R.B. 297 (Jan. 10, 2011)</w:t>
      </w:r>
      <w:r>
        <w:tab/>
        <w:t>110</w:t>
      </w:r>
    </w:p>
    <w:p w:rsidR="00800BE7" w:rsidRDefault="00800BE7">
      <w:pPr>
        <w:pStyle w:val="TOC2"/>
        <w:widowControl/>
        <w:tabs>
          <w:tab w:val="left" w:pos="-1440"/>
          <w:tab w:val="left" w:pos="-720"/>
          <w:tab w:val="left" w:pos="0"/>
          <w:tab w:val="left" w:pos="720"/>
          <w:tab w:val="left" w:pos="1440"/>
          <w:tab w:val="right" w:leader="dot" w:pos="9360"/>
        </w:tabs>
        <w:jc w:val="both"/>
      </w:pPr>
      <w:r>
        <w:t>B.</w:t>
      </w:r>
      <w:r>
        <w:tab/>
        <w:t>Code § 61.  Gross Income</w:t>
      </w:r>
      <w:r>
        <w:tab/>
        <w:t>111</w:t>
      </w:r>
    </w:p>
    <w:p w:rsidR="00800BE7" w:rsidRDefault="00800BE7">
      <w:pPr>
        <w:pStyle w:val="TOC3"/>
        <w:widowControl/>
        <w:tabs>
          <w:tab w:val="right" w:leader="dot" w:pos="9360"/>
        </w:tabs>
        <w:jc w:val="both"/>
      </w:pPr>
      <w:r>
        <w:t xml:space="preserve">When a Loan is Not a Loan.  </w:t>
      </w:r>
      <w:r>
        <w:rPr>
          <w:i/>
          <w:iCs/>
        </w:rPr>
        <w:t>Todd v. Comm’r</w:t>
      </w:r>
      <w:r>
        <w:t>, T.C. Memo. 2011-123 (June 6, 2011)</w:t>
      </w:r>
      <w:r>
        <w:tab/>
        <w:t>111</w:t>
      </w:r>
    </w:p>
    <w:p w:rsidR="00800BE7" w:rsidRDefault="00800BE7">
      <w:pPr>
        <w:pStyle w:val="TOC2"/>
        <w:widowControl/>
        <w:tabs>
          <w:tab w:val="left" w:pos="-1440"/>
          <w:tab w:val="left" w:pos="-720"/>
          <w:tab w:val="left" w:pos="0"/>
          <w:tab w:val="left" w:pos="720"/>
          <w:tab w:val="left" w:pos="1440"/>
          <w:tab w:val="right" w:leader="dot" w:pos="9360"/>
        </w:tabs>
        <w:jc w:val="both"/>
      </w:pPr>
      <w:r>
        <w:t>C.</w:t>
      </w:r>
      <w:r>
        <w:tab/>
        <w:t>Code § 67.  Two-Percent Floor on Miscellaneous Itemized Deductions</w:t>
      </w:r>
      <w:r>
        <w:tab/>
        <w:t>113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Treasury Issues New Proposed Regulations on Deductibility of Trust Expenses for Investment Advice and Other Miscellaneous Itemized deductions.  Prop. Reg. § 1.67-4, REG-1288224-06, 76 Fed. Reg.  55322-01 (Sept. 7, 2001)</w:t>
      </w:r>
      <w:r>
        <w:tab/>
        <w:t>113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Unbundling of Trustee’s Fees Not Required Until Final Regs.  Notice 2011-37, 2011-20 I.R.B. 785 (April 14, 2011)</w:t>
      </w:r>
      <w:r>
        <w:tab/>
        <w:t>116</w:t>
      </w:r>
    </w:p>
    <w:p w:rsidR="00800BE7" w:rsidRDefault="00800BE7">
      <w:pPr>
        <w:pStyle w:val="TOC2"/>
        <w:widowControl/>
        <w:tabs>
          <w:tab w:val="left" w:pos="-1440"/>
          <w:tab w:val="left" w:pos="-720"/>
          <w:tab w:val="left" w:pos="0"/>
          <w:tab w:val="left" w:pos="720"/>
          <w:tab w:val="left" w:pos="1440"/>
          <w:tab w:val="right" w:leader="dot" w:pos="9360"/>
        </w:tabs>
        <w:jc w:val="both"/>
      </w:pPr>
      <w:r>
        <w:t>D.</w:t>
      </w:r>
      <w:r>
        <w:tab/>
        <w:t>Code § 72.  Life Insurance Policies and Annuities</w:t>
      </w:r>
      <w:r>
        <w:tab/>
        <w:t>116</w:t>
      </w:r>
    </w:p>
    <w:p w:rsidR="00800BE7" w:rsidRDefault="00800BE7">
      <w:pPr>
        <w:pStyle w:val="TOC3"/>
        <w:widowControl/>
        <w:tabs>
          <w:tab w:val="right" w:leader="dot" w:pos="9360"/>
        </w:tabs>
        <w:jc w:val="both"/>
      </w:pPr>
      <w:r>
        <w:t xml:space="preserve">Taxpayer Incurs Income on Termination of Encumbered Policy.  </w:t>
      </w:r>
      <w:r>
        <w:rPr>
          <w:i/>
          <w:iCs/>
        </w:rPr>
        <w:t>McGowen v. Comm’r</w:t>
      </w:r>
      <w:r>
        <w:t>, 2011 WL 3873815 (10</w:t>
      </w:r>
      <w:r>
        <w:rPr>
          <w:vertAlign w:val="superscript"/>
        </w:rPr>
        <w:t>th</w:t>
      </w:r>
      <w:r>
        <w:t xml:space="preserve"> Cir. Sept. 2, 2011), aff’g T.C. Memo. 2009-285  </w:t>
      </w:r>
      <w:r>
        <w:rPr>
          <w:i/>
          <w:iCs/>
        </w:rPr>
        <w:t>Brown v. Comm’r</w:t>
      </w:r>
      <w:r>
        <w:t xml:space="preserve">, T.C. Memo. 2011-83 (April 12, 2011); </w:t>
      </w:r>
      <w:r>
        <w:rPr>
          <w:i/>
          <w:iCs/>
        </w:rPr>
        <w:t>Sanders v. Comm’r</w:t>
      </w:r>
      <w:r>
        <w:t xml:space="preserve">, T.C. Memo. 2010-279 (Dec. 20, 2010); </w:t>
      </w:r>
      <w:r>
        <w:rPr>
          <w:i/>
          <w:iCs/>
        </w:rPr>
        <w:t>Ledger v. Comm’r</w:t>
      </w:r>
      <w:r>
        <w:t>, T.C. Memo. 2011-183 (Aug. 2, 2011)</w:t>
      </w:r>
      <w:r>
        <w:tab/>
        <w:t>116</w:t>
      </w:r>
    </w:p>
    <w:p w:rsidR="00800BE7" w:rsidRDefault="00800BE7">
      <w:pPr>
        <w:pStyle w:val="TOC2"/>
        <w:widowControl/>
        <w:tabs>
          <w:tab w:val="left" w:pos="-1440"/>
          <w:tab w:val="left" w:pos="-720"/>
          <w:tab w:val="left" w:pos="0"/>
          <w:tab w:val="left" w:pos="720"/>
          <w:tab w:val="left" w:pos="1440"/>
          <w:tab w:val="right" w:leader="dot" w:pos="9360"/>
        </w:tabs>
        <w:jc w:val="both"/>
      </w:pPr>
      <w:r>
        <w:t>E.</w:t>
      </w:r>
      <w:r>
        <w:tab/>
        <w:t>Code § 101.  Income Taxation of Life Insurance Proceeds</w:t>
      </w:r>
      <w:r>
        <w:tab/>
        <w:t>121</w:t>
      </w:r>
    </w:p>
    <w:p w:rsidR="00800BE7" w:rsidRDefault="00800BE7">
      <w:pPr>
        <w:pStyle w:val="TOC3"/>
        <w:widowControl/>
        <w:tabs>
          <w:tab w:val="right" w:leader="dot" w:pos="9360"/>
        </w:tabs>
        <w:jc w:val="both"/>
      </w:pPr>
      <w:r>
        <w:t>Treasury Would Require Reporting of Transactions Related to Sale of Life Insurance Policies.  Dept. of Treasury, “General Explanations of the Administration’s Fiscal Year 2012 Revenue Proposals” p. 51 (Feb. 14, 2011)</w:t>
      </w:r>
      <w:r>
        <w:tab/>
        <w:t>121</w:t>
      </w:r>
    </w:p>
    <w:p w:rsidR="00800BE7" w:rsidRDefault="00800BE7">
      <w:pPr>
        <w:pStyle w:val="TOC2"/>
        <w:widowControl/>
        <w:tabs>
          <w:tab w:val="left" w:pos="-1440"/>
          <w:tab w:val="left" w:pos="-720"/>
          <w:tab w:val="left" w:pos="0"/>
          <w:tab w:val="left" w:pos="720"/>
          <w:tab w:val="left" w:pos="1440"/>
          <w:tab w:val="right" w:leader="dot" w:pos="9360"/>
        </w:tabs>
        <w:jc w:val="both"/>
      </w:pPr>
      <w:r>
        <w:t>F.</w:t>
      </w:r>
      <w:r>
        <w:tab/>
        <w:t>Code § 213.  Medical Expense Deduction</w:t>
      </w:r>
      <w:r>
        <w:tab/>
        <w:t>122</w:t>
      </w:r>
    </w:p>
    <w:p w:rsidR="00800BE7" w:rsidRDefault="00800BE7">
      <w:pPr>
        <w:pStyle w:val="TOC3"/>
        <w:widowControl/>
        <w:tabs>
          <w:tab w:val="right" w:leader="dot" w:pos="9360"/>
        </w:tabs>
        <w:jc w:val="both"/>
      </w:pPr>
      <w:r>
        <w:lastRenderedPageBreak/>
        <w:t xml:space="preserve">Adult Donee Can Deduct Medical Expenses and Property Taxes Paid as Gifts by Donor.  </w:t>
      </w:r>
      <w:r>
        <w:rPr>
          <w:i/>
          <w:iCs/>
        </w:rPr>
        <w:t>Lang v. Comm’r</w:t>
      </w:r>
      <w:r>
        <w:t>, T.C. Memo. 2010-286 (Dec. 30, 2010)</w:t>
      </w:r>
      <w:r>
        <w:tab/>
        <w:t>122</w:t>
      </w:r>
    </w:p>
    <w:p w:rsidR="00800BE7" w:rsidRDefault="00800BE7">
      <w:pPr>
        <w:pStyle w:val="TOC2"/>
        <w:widowControl/>
        <w:tabs>
          <w:tab w:val="left" w:pos="-1440"/>
          <w:tab w:val="left" w:pos="-720"/>
          <w:tab w:val="left" w:pos="0"/>
          <w:tab w:val="left" w:pos="720"/>
          <w:tab w:val="left" w:pos="1440"/>
          <w:tab w:val="right" w:leader="dot" w:pos="9360"/>
        </w:tabs>
        <w:jc w:val="both"/>
      </w:pPr>
      <w:r>
        <w:t>G.</w:t>
      </w:r>
      <w:r>
        <w:tab/>
        <w:t>Code §§ 170, 642, 4940-4947.  Charitable Gifts and Distributions</w:t>
      </w:r>
      <w:r>
        <w:tab/>
        <w:t>123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Legislative Proposals to Reform Charitable Giving Rules.  H.R. 1593, 112nd Cong., 1</w:t>
      </w:r>
      <w:r>
        <w:rPr>
          <w:vertAlign w:val="superscript"/>
        </w:rPr>
        <w:t>st</w:t>
      </w:r>
      <w:r>
        <w:t xml:space="preserve"> Sess. (April 15, 2011); H.R. 1964, 112nd Cong., 1</w:t>
      </w:r>
      <w:r>
        <w:rPr>
          <w:vertAlign w:val="superscript"/>
        </w:rPr>
        <w:t>st</w:t>
      </w:r>
      <w:r>
        <w:t xml:space="preserve"> Sess. (May 24, 2011); S. 931, 112nd Cong., 1</w:t>
      </w:r>
      <w:r>
        <w:rPr>
          <w:vertAlign w:val="superscript"/>
        </w:rPr>
        <w:t>st</w:t>
      </w:r>
      <w:r>
        <w:t xml:space="preserve"> Sess. (May 10, 2011)</w:t>
      </w:r>
      <w:r>
        <w:tab/>
        <w:t>123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Tax Relief Unemployment Insurance Reauthorization, and Job Creation Act of 2010 Extends Expiring Charitable Gift Rules.  Pub. L. 111-312, 111</w:t>
      </w:r>
      <w:r>
        <w:rPr>
          <w:vertAlign w:val="superscript"/>
        </w:rPr>
        <w:t>th</w:t>
      </w:r>
      <w:r>
        <w:t xml:space="preserve"> Cong., 2</w:t>
      </w:r>
      <w:r>
        <w:rPr>
          <w:vertAlign w:val="superscript"/>
        </w:rPr>
        <w:t>nd</w:t>
      </w:r>
      <w:r>
        <w:t xml:space="preserve"> Sess. (Dec. 17, 2010)</w:t>
      </w:r>
      <w:r>
        <w:tab/>
        <w:t>123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3.</w:t>
      </w:r>
      <w:r>
        <w:tab/>
        <w:t xml:space="preserve">Façade Easements Attract Extensive Litigation. </w:t>
      </w:r>
      <w:r>
        <w:rPr>
          <w:i/>
          <w:iCs/>
        </w:rPr>
        <w:t>Simmons v. Comm’r</w:t>
      </w:r>
      <w:r>
        <w:t xml:space="preserve">, 646 F.3d 6 (D.C. Cir. June 21, 2011), </w:t>
      </w:r>
      <w:r>
        <w:rPr>
          <w:i/>
          <w:iCs/>
        </w:rPr>
        <w:t xml:space="preserve">aff’g </w:t>
      </w:r>
      <w:r>
        <w:t xml:space="preserve">T.C. Memo. 2009-208; </w:t>
      </w:r>
      <w:r>
        <w:rPr>
          <w:i/>
          <w:iCs/>
        </w:rPr>
        <w:t>Kaufman v. Comm’r</w:t>
      </w:r>
      <w:r>
        <w:t>, 134 T.C. 182 (2010),</w:t>
      </w:r>
      <w:r>
        <w:rPr>
          <w:i/>
          <w:iCs/>
        </w:rPr>
        <w:t xml:space="preserve"> reh’g </w:t>
      </w:r>
      <w:r>
        <w:t xml:space="preserve">136 T.C. ___ (No. 13) (April 4, 2011); </w:t>
      </w:r>
      <w:r>
        <w:rPr>
          <w:i/>
          <w:iCs/>
        </w:rPr>
        <w:t>Schrimsher v. Comm’r</w:t>
      </w:r>
      <w:r>
        <w:t xml:space="preserve">, T.C. Memo. 2011-71 (March 28, 2011); </w:t>
      </w:r>
      <w:r>
        <w:rPr>
          <w:i/>
          <w:iCs/>
        </w:rPr>
        <w:t>1982 East LLC et al. v. Comm’r</w:t>
      </w:r>
      <w:r>
        <w:t>, T.C. Memo. 2011-84 (April 12, 2011)</w:t>
      </w:r>
      <w:r>
        <w:tab/>
        <w:t>125</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4.</w:t>
      </w:r>
      <w:r>
        <w:tab/>
        <w:t xml:space="preserve">Expenses Related to Feline Foster Care in the Taxpayer’s House are Deductible.  </w:t>
      </w:r>
      <w:r>
        <w:rPr>
          <w:i/>
          <w:iCs/>
        </w:rPr>
        <w:t>Van Dusen v. Comm’r</w:t>
      </w:r>
      <w:r>
        <w:t>, 136 T.C. ___ (No. 25) (June 2, 2011)</w:t>
      </w:r>
      <w:r>
        <w:tab/>
        <w:t>130</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5.</w:t>
      </w:r>
      <w:r>
        <w:tab/>
        <w:t xml:space="preserve">Deduction for Conservation Easement Reduced Because Taxpayer’s Expert Appraisal Deemed Unreliable and Irrelevant.  </w:t>
      </w:r>
      <w:r>
        <w:rPr>
          <w:i/>
          <w:iCs/>
        </w:rPr>
        <w:t>Boltar LLC v. Comm’r</w:t>
      </w:r>
      <w:r>
        <w:t>, 136 T.C. ___ (No. 14) (April 5, 2011)</w:t>
      </w:r>
      <w:r>
        <w:tab/>
        <w:t>131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6.</w:t>
      </w:r>
      <w:r>
        <w:tab/>
        <w:t xml:space="preserve">Taxpayers Denied Deduction and Taxed on Gain From Charity’s Sale of Contributed Stock Because of Retained Control.  </w:t>
      </w:r>
      <w:r>
        <w:rPr>
          <w:i/>
          <w:iCs/>
        </w:rPr>
        <w:t>Gundanna v. Comm’r</w:t>
      </w:r>
      <w:r>
        <w:t>, 136 T.C. ___ (No. 8) (Feb. 14, 2011)</w:t>
      </w:r>
      <w:r>
        <w:tab/>
        <w:t>132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7.</w:t>
      </w:r>
      <w:r>
        <w:tab/>
        <w:t xml:space="preserve">No Charitable Deduction for Contributing House to Fire Department for Burning.  </w:t>
      </w:r>
      <w:r>
        <w:rPr>
          <w:i/>
          <w:iCs/>
        </w:rPr>
        <w:t>Rolfs v. Comm’r</w:t>
      </w:r>
      <w:r>
        <w:t>, 135 T.C. 471 (Nov. 4, 2010)</w:t>
      </w:r>
      <w:r>
        <w:tab/>
        <w:t>133</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8.</w:t>
      </w:r>
      <w:r>
        <w:tab/>
        <w:t>Lack of Contemporaneous Acknowledgment for Charitable Contribu</w:t>
      </w:r>
      <w:r>
        <w:softHyphen/>
        <w:t xml:space="preserve">tion of Conservation Easement Costs Taxpayer a $1,870,000 Deduction.  </w:t>
      </w:r>
      <w:r>
        <w:rPr>
          <w:i/>
          <w:iCs/>
        </w:rPr>
        <w:t>Bruce v. Comm’r</w:t>
      </w:r>
      <w:r>
        <w:t>, T.C. Memo 2011-153 (June 29, 2011)</w:t>
      </w:r>
      <w:r>
        <w:tab/>
        <w:t>134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9.</w:t>
      </w:r>
      <w:r>
        <w:tab/>
        <w:t xml:space="preserve">Gift of Artwork Deductible Only to Basis, Because One-Year Holding Period Not Begun with Option to Buy.  </w:t>
      </w:r>
      <w:r>
        <w:rPr>
          <w:i/>
          <w:iCs/>
        </w:rPr>
        <w:t>Williams v. Comm’r</w:t>
      </w:r>
      <w:r>
        <w:t>, T.C. Memo. 2011-89 (April 21, 2011)</w:t>
      </w:r>
      <w:r>
        <w:tab/>
        <w:t>135</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10.</w:t>
      </w:r>
      <w:r>
        <w:tab/>
        <w:t xml:space="preserve">Tax Court Rejects Both Side’s Appraisals in Valuing Conservation Easement and Applies 30% of Contribution Base Limitation to Gift by LLC.  </w:t>
      </w:r>
      <w:r>
        <w:rPr>
          <w:i/>
          <w:iCs/>
        </w:rPr>
        <w:t>Trout Ranch LLC v. Comm’r</w:t>
      </w:r>
      <w:r>
        <w:t>, T.C. Memo. 2010-283 (Dec. 27, 2010)</w:t>
      </w:r>
      <w:r>
        <w:tab/>
        <w:t>136</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11.</w:t>
      </w:r>
      <w:r>
        <w:tab/>
        <w:t xml:space="preserve">Deduction Denied because Appraisal Did Not State Contribution Date, Date of the Appraisal, and Fair Market Value on Contribution Date.  </w:t>
      </w:r>
      <w:r>
        <w:rPr>
          <w:i/>
          <w:iCs/>
        </w:rPr>
        <w:t>Lord v. Comm’r</w:t>
      </w:r>
      <w:r>
        <w:t>, T.C. Memo. 2010-196 (Sept. 8, 2010)</w:t>
      </w:r>
      <w:r>
        <w:tab/>
        <w:t>137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lastRenderedPageBreak/>
        <w:t>12.</w:t>
      </w:r>
      <w:r>
        <w:tab/>
        <w:t>IRS Provides Guidance on Relying on IRS Publications for Deductibil</w:t>
      </w:r>
      <w:r>
        <w:softHyphen/>
        <w:t>ity of Charitable Contributions.  Rev. Proc. 2011-33, 2011-25 I.R.B. 887 (June 20, 2011)</w:t>
      </w:r>
      <w:r>
        <w:tab/>
        <w:t>138</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13.</w:t>
      </w:r>
      <w:r>
        <w:tab/>
        <w:t>IRS Limits Trust’s Deduction for Charitable Distribution of Appreciated Property Bought by Trust.  CCM 201042023 (Oct. 22, 2010)</w:t>
      </w:r>
      <w:r>
        <w:tab/>
        <w:t>138</w:t>
      </w:r>
    </w:p>
    <w:p w:rsidR="00800BE7" w:rsidRDefault="00800BE7">
      <w:pPr>
        <w:pStyle w:val="TOC2"/>
        <w:widowControl/>
        <w:tabs>
          <w:tab w:val="left" w:pos="-1440"/>
          <w:tab w:val="left" w:pos="-720"/>
          <w:tab w:val="left" w:pos="0"/>
          <w:tab w:val="left" w:pos="720"/>
          <w:tab w:val="left" w:pos="1440"/>
          <w:tab w:val="right" w:leader="dot" w:pos="9360"/>
        </w:tabs>
        <w:jc w:val="both"/>
      </w:pPr>
      <w:r>
        <w:t>H.</w:t>
      </w:r>
      <w:r>
        <w:tab/>
        <w:t>Code § 642(h).  Losses and Deductions At Termination of Estate or Trust</w:t>
      </w:r>
      <w:r>
        <w:tab/>
        <w:t>140</w:t>
      </w:r>
    </w:p>
    <w:p w:rsidR="00800BE7" w:rsidRDefault="00800BE7">
      <w:pPr>
        <w:pStyle w:val="TOC3"/>
        <w:widowControl/>
        <w:tabs>
          <w:tab w:val="right" w:leader="dot" w:pos="9360"/>
        </w:tabs>
        <w:jc w:val="both"/>
      </w:pPr>
      <w:r>
        <w:t>Beneficiaries of Insolvent Estate Cannot Take Estate's Unused Capital Loss Carryovers.  ILS 201047021 (Nov. 26, 2010)</w:t>
      </w:r>
      <w:r>
        <w:tab/>
        <w:t>140</w:t>
      </w:r>
    </w:p>
    <w:p w:rsidR="00800BE7" w:rsidRDefault="00800BE7">
      <w:pPr>
        <w:pStyle w:val="TOC2"/>
        <w:widowControl/>
        <w:tabs>
          <w:tab w:val="left" w:pos="-1440"/>
          <w:tab w:val="left" w:pos="-720"/>
          <w:tab w:val="left" w:pos="0"/>
          <w:tab w:val="left" w:pos="720"/>
          <w:tab w:val="left" w:pos="1440"/>
          <w:tab w:val="right" w:leader="dot" w:pos="9360"/>
        </w:tabs>
        <w:jc w:val="both"/>
      </w:pPr>
      <w:r>
        <w:t>I.</w:t>
      </w:r>
      <w:r>
        <w:tab/>
        <w:t>Code §§ 661 and 662.  Taxation of Trust Distributions</w:t>
      </w:r>
      <w:r>
        <w:tab/>
        <w:t>141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 xml:space="preserve">Taxpayer Taxed on All Distributions from Domestic and Foreign Trusts.  </w:t>
      </w:r>
      <w:r>
        <w:rPr>
          <w:i/>
          <w:iCs/>
        </w:rPr>
        <w:t>Rahall v. Comm’r</w:t>
      </w:r>
      <w:r>
        <w:t>; T.C. Memo. 2011-101 (May 16, 2011)</w:t>
      </w:r>
      <w:r>
        <w:tab/>
        <w:t>141</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IRS Adds Income Tax Consequences of Decanting to No-Ruling List.  Rev. Proc. 2011-3, 2011-1 I.R.B. 111 (Jan. 3, 2011)</w:t>
      </w:r>
      <w:r>
        <w:tab/>
        <w:t>141</w:t>
      </w:r>
    </w:p>
    <w:p w:rsidR="00800BE7" w:rsidRDefault="00800BE7">
      <w:pPr>
        <w:pStyle w:val="TOC2"/>
        <w:widowControl/>
        <w:tabs>
          <w:tab w:val="left" w:pos="-1440"/>
          <w:tab w:val="left" w:pos="-720"/>
          <w:tab w:val="left" w:pos="0"/>
          <w:tab w:val="left" w:pos="720"/>
          <w:tab w:val="left" w:pos="1440"/>
          <w:tab w:val="right" w:leader="dot" w:pos="9360"/>
        </w:tabs>
        <w:jc w:val="both"/>
      </w:pPr>
      <w:r>
        <w:t>J.</w:t>
      </w:r>
      <w:r>
        <w:tab/>
        <w:t>Code § 664.  Charitable Remainder Trusts</w:t>
      </w:r>
      <w:r>
        <w:tab/>
        <w:t>142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IRS Permits Charitable Remainder Trust to Fund Grantor’s Interest with Commercial Annuities.  PLR 201126007 (July 1, 2011)</w:t>
      </w:r>
      <w:r>
        <w:tab/>
        <w:t>142</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Rescission of Charitable Remainder Trust is Not Self-Dealing.  PLR 201040021 (Oct. 8, 2010)</w:t>
      </w:r>
      <w:r>
        <w:tab/>
        <w:t>143</w:t>
      </w:r>
    </w:p>
    <w:p w:rsidR="00800BE7" w:rsidRDefault="00800BE7">
      <w:pPr>
        <w:pStyle w:val="TOC2"/>
        <w:widowControl/>
        <w:tabs>
          <w:tab w:val="left" w:pos="-1440"/>
          <w:tab w:val="left" w:pos="-720"/>
          <w:tab w:val="left" w:pos="0"/>
          <w:tab w:val="left" w:pos="720"/>
          <w:tab w:val="left" w:pos="1440"/>
          <w:tab w:val="right" w:leader="dot" w:pos="9360"/>
        </w:tabs>
        <w:jc w:val="both"/>
      </w:pPr>
      <w:r>
        <w:t>K.</w:t>
      </w:r>
      <w:r>
        <w:tab/>
        <w:t>Code §§ 671-679.  Grantor Trusts</w:t>
      </w:r>
      <w:r>
        <w:tab/>
        <w:t>144</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IRS Explains Income and Estate Tax Ownership of Trust Based on Beneficiary’s Annual Right to Withdraw Income.  PLR 201038004 (Sept. 24, 2010)</w:t>
      </w:r>
      <w:r>
        <w:tab/>
        <w:t>145</w:t>
      </w:r>
    </w:p>
    <w:p w:rsidR="00800BE7" w:rsidRDefault="00800BE7">
      <w:pPr>
        <w:pStyle w:val="TOC2"/>
        <w:widowControl/>
        <w:tabs>
          <w:tab w:val="left" w:pos="-1440"/>
          <w:tab w:val="left" w:pos="-720"/>
          <w:tab w:val="left" w:pos="0"/>
          <w:tab w:val="left" w:pos="720"/>
          <w:tab w:val="left" w:pos="1440"/>
          <w:tab w:val="right" w:leader="dot" w:pos="9360"/>
        </w:tabs>
        <w:jc w:val="both"/>
      </w:pPr>
      <w:r>
        <w:t>L.</w:t>
      </w:r>
      <w:r>
        <w:tab/>
        <w:t>Code § 877A.  Recognition of Gain by Expatriates</w:t>
      </w:r>
      <w:r>
        <w:tab/>
        <w:t>146</w:t>
      </w:r>
    </w:p>
    <w:p w:rsidR="00800BE7" w:rsidRDefault="00800BE7">
      <w:pPr>
        <w:pStyle w:val="TOC3"/>
        <w:widowControl/>
        <w:tabs>
          <w:tab w:val="right" w:leader="dot" w:pos="9360"/>
        </w:tabs>
        <w:jc w:val="both"/>
      </w:pPr>
      <w:r>
        <w:t>Two Key Figures Are Adjusted for Inflation.  Rev. Proc. 2010-40 §§ 3.17, 3.18, 2010-46 I.R.B. 663 (Nov. 15, 2010)</w:t>
      </w:r>
      <w:r>
        <w:tab/>
        <w:t>146</w:t>
      </w:r>
    </w:p>
    <w:p w:rsidR="00800BE7" w:rsidRDefault="00800BE7">
      <w:pPr>
        <w:pStyle w:val="TOC2"/>
        <w:widowControl/>
        <w:tabs>
          <w:tab w:val="left" w:pos="-1440"/>
          <w:tab w:val="left" w:pos="-720"/>
          <w:tab w:val="left" w:pos="0"/>
          <w:tab w:val="left" w:pos="720"/>
          <w:tab w:val="left" w:pos="1440"/>
          <w:tab w:val="right" w:leader="dot" w:pos="9360"/>
        </w:tabs>
        <w:jc w:val="both"/>
      </w:pPr>
      <w:r>
        <w:t>M.</w:t>
      </w:r>
      <w:r>
        <w:tab/>
        <w:t>Code §§ 1014, 1015, 1022.  Basis of Property Received by Gift or Received From a Decedent</w:t>
      </w:r>
      <w:r>
        <w:tab/>
        <w:t>147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1.</w:t>
      </w:r>
      <w:r>
        <w:tab/>
        <w:t>Treasury Would Require that Basis Be Based on Transfer Tax Values.  Dept. of Treasury, “General Explanations of the Administration’s Fiscal Year 2012 Revenue Proposals” pp. 125-126 (Feb. 14, 2011)</w:t>
      </w:r>
      <w:r>
        <w:tab/>
        <w:t>147</w:t>
      </w:r>
    </w:p>
    <w:p w:rsidR="00800BE7" w:rsidRDefault="00800BE7">
      <w:pPr>
        <w:pStyle w:val="TOC3"/>
        <w:widowControl/>
        <w:tabs>
          <w:tab w:val="left" w:pos="-1440"/>
          <w:tab w:val="left" w:pos="-720"/>
          <w:tab w:val="left" w:pos="0"/>
          <w:tab w:val="left" w:pos="720"/>
          <w:tab w:val="left" w:pos="1440"/>
          <w:tab w:val="left" w:pos="2160"/>
          <w:tab w:val="right" w:leader="dot" w:pos="9360"/>
        </w:tabs>
        <w:jc w:val="both"/>
      </w:pPr>
      <w:r>
        <w:t>2.</w:t>
      </w:r>
      <w:r>
        <w:tab/>
        <w:t>Form 8939 (Carryover Basis and Election Out of Estate Tax) Not Required on April 18, 2011 – More Later.  Inf. Rel. 2011-33 (March 31, 2011)</w:t>
      </w:r>
      <w:r>
        <w:tab/>
        <w:t>148</w:t>
      </w:r>
    </w:p>
    <w:p w:rsidR="00800BE7" w:rsidRDefault="00800BE7">
      <w:pPr>
        <w:pStyle w:val="TOC2"/>
        <w:widowControl/>
        <w:tabs>
          <w:tab w:val="left" w:pos="-1440"/>
          <w:tab w:val="left" w:pos="-720"/>
          <w:tab w:val="left" w:pos="0"/>
          <w:tab w:val="left" w:pos="720"/>
          <w:tab w:val="left" w:pos="1440"/>
          <w:tab w:val="right" w:leader="dot" w:pos="9360"/>
        </w:tabs>
        <w:jc w:val="both"/>
      </w:pPr>
      <w:r>
        <w:t>N.</w:t>
      </w:r>
      <w:r>
        <w:tab/>
        <w:t>Code § 1035.  Exchange of Life Insurance Contracts</w:t>
      </w:r>
      <w:r>
        <w:tab/>
        <w:t>148</w:t>
      </w:r>
    </w:p>
    <w:p w:rsidR="00800BE7" w:rsidRDefault="00800BE7">
      <w:pPr>
        <w:pStyle w:val="TOC3"/>
        <w:widowControl/>
        <w:tabs>
          <w:tab w:val="right" w:leader="dot" w:pos="9360"/>
        </w:tabs>
        <w:jc w:val="both"/>
      </w:pPr>
      <w:r>
        <w:t>IRS Provides New Guidance on Partial Tax-free Exchanges of Annuity Contracts.  Rev. Proc. 2011-38, 2011-30 I.R.B. 66 (July 25, 2011)</w:t>
      </w:r>
      <w:r>
        <w:tab/>
        <w:t>148</w:t>
      </w:r>
    </w:p>
    <w:p w:rsidR="00800BE7" w:rsidRDefault="00800BE7">
      <w:pPr>
        <w:pStyle w:val="TOC1"/>
        <w:widowControl/>
        <w:ind w:left="0" w:firstLine="0"/>
        <w:jc w:val="both"/>
      </w:pPr>
    </w:p>
    <w:p w:rsidR="00800BE7" w:rsidRDefault="00800BE7">
      <w:pPr>
        <w:pStyle w:val="TOC1"/>
        <w:widowControl/>
        <w:tabs>
          <w:tab w:val="right" w:leader="dot" w:pos="9360"/>
        </w:tabs>
        <w:jc w:val="both"/>
      </w:pPr>
      <w:r>
        <w:t>SELECTED ATTACHMENTS</w:t>
      </w:r>
      <w:r>
        <w:tab/>
        <w:t>150</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1. </w:t>
      </w:r>
      <w:r>
        <w:tab/>
        <w:t>Family Limited Partnership/Limited Liability Company Checklist</w:t>
      </w:r>
      <w:r>
        <w:tab/>
        <w:t>150</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2. </w:t>
      </w:r>
      <w:r>
        <w:tab/>
        <w:t xml:space="preserve">Family Limited Partnership Agreement Giving Donee Limited Partners Full Right to Sell their Interests (Subject to a Right of First Refusal) -- Includes Deed of Gift Granting Donee a 30-Day Put Right, Which Should Cause Gifts of Limited </w:t>
      </w:r>
      <w:r>
        <w:lastRenderedPageBreak/>
        <w:t xml:space="preserve">Partnership Interests to Qualify for the Gift Tax Annual Exclusion Under </w:t>
      </w:r>
      <w:r>
        <w:rPr>
          <w:i/>
          <w:iCs/>
        </w:rPr>
        <w:t>Fisher v. United States</w:t>
      </w:r>
      <w:r>
        <w:t xml:space="preserve">, 2010 WL 935491, 105 A.F.T.R. 2d 2010-1347 (S.D. Ind. 2010)(slip copy); </w:t>
      </w:r>
      <w:r>
        <w:rPr>
          <w:i/>
          <w:iCs/>
        </w:rPr>
        <w:t>Price v. Comm'r</w:t>
      </w:r>
      <w:r>
        <w:t xml:space="preserve">, T.C. Memo. 2010-2; and </w:t>
      </w:r>
      <w:r>
        <w:rPr>
          <w:i/>
          <w:iCs/>
        </w:rPr>
        <w:t>Hackl v. Comm'r</w:t>
      </w:r>
      <w:r>
        <w:t xml:space="preserve">, 118 T.C. 279 (2002), </w:t>
      </w:r>
      <w:r>
        <w:rPr>
          <w:i/>
          <w:iCs/>
        </w:rPr>
        <w:t>aff’d</w:t>
      </w:r>
      <w:r>
        <w:t>, 335 F.3d 664 (7th Cir. 2003) -- Formed Under 2001 Revised Uniform Limited Partnership Act – Corporate General Partner Limits Lapse of Liquidation Rights</w:t>
      </w:r>
      <w:r>
        <w:tab/>
        <w:t>155</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3.</w:t>
      </w:r>
      <w:r>
        <w:tab/>
      </w:r>
      <w:r>
        <w:rPr>
          <w:i/>
          <w:iCs/>
        </w:rPr>
        <w:t>Graegin</w:t>
      </w:r>
      <w:r>
        <w:t xml:space="preserve"> Loan – Fixed Interest Rate and Term – No Prepayment Permitted – See Loan in </w:t>
      </w:r>
      <w:r>
        <w:rPr>
          <w:i/>
          <w:iCs/>
        </w:rPr>
        <w:t>Keller v. United States</w:t>
      </w:r>
      <w:r>
        <w:t>, 2010 WL 3700841, 106 A.F.T.R.2d 2010-6309 (S.D. Tex. Sept. 14, 2010) (slip copy)</w:t>
      </w:r>
      <w:r>
        <w:tab/>
        <w:t>171</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4.</w:t>
      </w:r>
      <w:r>
        <w:tab/>
        <w:t>Defined Value Deed of Gift – Based on</w:t>
      </w:r>
      <w:r>
        <w:rPr>
          <w:i/>
          <w:iCs/>
        </w:rPr>
        <w:t xml:space="preserve"> Estate of Petter v. Comm'r</w:t>
      </w:r>
      <w:r>
        <w:t xml:space="preserve">, T.C. Memo. 2009-280, </w:t>
      </w:r>
      <w:r>
        <w:rPr>
          <w:i/>
          <w:iCs/>
        </w:rPr>
        <w:t>aff’d</w:t>
      </w:r>
      <w:r>
        <w:t>, ___ F.3d ___, 2011 WL 3332532, 108 A.F.T.R.2d 2011-5593 (9</w:t>
      </w:r>
      <w:r>
        <w:rPr>
          <w:vertAlign w:val="superscript"/>
        </w:rPr>
        <w:t>th</w:t>
      </w:r>
      <w:r>
        <w:t xml:space="preserve"> Cir. Aug. 4, 2011); and </w:t>
      </w:r>
      <w:r>
        <w:rPr>
          <w:i/>
          <w:iCs/>
        </w:rPr>
        <w:t>Hendrix v. Comm’r</w:t>
      </w:r>
      <w:r>
        <w:t>, T.C. Memo. 2011-133 (June 15, 2011)</w:t>
      </w:r>
      <w:r>
        <w:tab/>
        <w:t>174</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5. </w:t>
      </w:r>
      <w:r>
        <w:tab/>
        <w:t>IRS/Treasury Priority Guidance List for 2012 – Issues Related to Estate Planning</w:t>
      </w:r>
      <w:r>
        <w:tab/>
        <w:t>176</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6. </w:t>
      </w:r>
      <w:r>
        <w:tab/>
        <w:t>IRS No-Rulings List for 2011 – Estate, Gift, GST Tax and Related Issues.  Excerpts from Rev. Proc. 2011-3, 2011-1 I.R.B. 111 (Jan. 3, 2011)</w:t>
      </w:r>
      <w:r>
        <w:tab/>
        <w:t>180</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7. </w:t>
      </w:r>
      <w:r>
        <w:tab/>
        <w:t>Clause Allowing Disinterested Trustee to Grant Surviving Spouse General Power of Appointment Over Appreciated Assets in Nonmarital Trust, to Take Advantage of Increased Applicable Exclusion Amount under Tax Relief Act of 2010, Pub. L. 111-312, 111</w:t>
      </w:r>
      <w:r>
        <w:rPr>
          <w:vertAlign w:val="superscript"/>
        </w:rPr>
        <w:t>th</w:t>
      </w:r>
      <w:r>
        <w:t xml:space="preserve"> Cong., 2</w:t>
      </w:r>
      <w:r>
        <w:rPr>
          <w:vertAlign w:val="superscript"/>
        </w:rPr>
        <w:t>nd</w:t>
      </w:r>
      <w:r>
        <w:t xml:space="preserve"> Sess. (Dec. 27, 2010) – Used for Trusts that Do Not Continue Long After Surviving Spouse’s Death</w:t>
      </w:r>
      <w:r>
        <w:tab/>
        <w:t>187</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8. </w:t>
      </w:r>
      <w:r>
        <w:tab/>
        <w:t>Clause Allowing Disinterested Trustee to Grant Any Beneficiary a General Power of Appointment Over Appreciated Assets in Nonmarital Trust, to Take Advantage of Increased Applicable Exclusion Amount under Tax Relief Act of 2010, Pub. L. 111-312, 111</w:t>
      </w:r>
      <w:r>
        <w:rPr>
          <w:vertAlign w:val="superscript"/>
        </w:rPr>
        <w:t>th</w:t>
      </w:r>
      <w:r>
        <w:t xml:space="preserve"> Cong., 2</w:t>
      </w:r>
      <w:r>
        <w:rPr>
          <w:vertAlign w:val="superscript"/>
        </w:rPr>
        <w:t>nd</w:t>
      </w:r>
      <w:r>
        <w:t xml:space="preserve"> Sess. (Dec. 27, 2010) – Used for Trusts that Continue Long After Surviving Spouse’s Death</w:t>
      </w:r>
      <w:r>
        <w:tab/>
        <w:t>189</w:t>
      </w:r>
    </w:p>
    <w:p w:rsidR="00800BE7" w:rsidRDefault="00800BE7">
      <w:pPr>
        <w:pStyle w:val="TOC1"/>
        <w:widowControl/>
        <w:ind w:left="0" w:firstLine="0"/>
        <w:jc w:val="both"/>
      </w:pPr>
    </w:p>
    <w:p w:rsidR="00800BE7" w:rsidRDefault="00800BE7">
      <w:pPr>
        <w:pStyle w:val="TOC1"/>
        <w:widowControl/>
        <w:tabs>
          <w:tab w:val="left" w:pos="-1440"/>
          <w:tab w:val="left" w:pos="-720"/>
          <w:tab w:val="left" w:pos="0"/>
          <w:tab w:val="left" w:pos="720"/>
          <w:tab w:val="right" w:leader="dot" w:pos="9360"/>
        </w:tabs>
        <w:jc w:val="both"/>
      </w:pPr>
      <w:r>
        <w:t xml:space="preserve">9.  </w:t>
      </w:r>
      <w:r>
        <w:tab/>
        <w:t>Direction to Executor to Elect to Give the Surviving Spouse the Decedent’s Unused Applicable Exclusion Amount</w:t>
      </w:r>
      <w:r>
        <w:tab/>
        <w:t>191</w:t>
      </w:r>
    </w:p>
    <w:p w:rsidR="00800BE7" w:rsidRDefault="00800BE7">
      <w:pPr>
        <w:widowControl/>
        <w:jc w:val="both"/>
        <w:rPr>
          <w:vanish/>
        </w:rPr>
      </w:pPr>
    </w:p>
    <w:p w:rsidR="00800BE7" w:rsidRDefault="00BC7053">
      <w:pPr>
        <w:widowControl/>
        <w:jc w:val="both"/>
      </w:pPr>
      <w:r>
        <w:fldChar w:fldCharType="end"/>
      </w:r>
      <w:r w:rsidR="00800BE7">
        <w:t xml:space="preserve"> </w:t>
      </w:r>
    </w:p>
    <w:p w:rsidR="00800BE7" w:rsidRDefault="00800BE7">
      <w:pPr>
        <w:widowControl/>
        <w:jc w:val="both"/>
        <w:sectPr w:rsidR="00800BE7">
          <w:type w:val="continuous"/>
          <w:pgSz w:w="12240" w:h="15840"/>
          <w:pgMar w:top="1440" w:right="1440" w:bottom="1440" w:left="1440" w:header="1440" w:footer="1440" w:gutter="0"/>
          <w:pgNumType w:fmt="lowerRoman"/>
          <w:cols w:space="720"/>
          <w:noEndnote/>
        </w:sectPr>
      </w:pPr>
    </w:p>
    <w:p w:rsidR="00800BE7" w:rsidRDefault="00800BE7">
      <w:pPr>
        <w:widowControl/>
        <w:jc w:val="both"/>
        <w:sectPr w:rsidR="00800BE7">
          <w:pgSz w:w="12240" w:h="15840"/>
          <w:pgMar w:top="1440" w:right="1440" w:bottom="1440" w:left="1440" w:header="1440" w:footer="1440" w:gutter="0"/>
          <w:pgNumType w:fmt="lowerRoman"/>
          <w:cols w:space="720"/>
          <w:noEndnote/>
        </w:sectPr>
      </w:pPr>
    </w:p>
    <w:p w:rsidR="00800BE7" w:rsidRDefault="00800BE7">
      <w:pPr>
        <w:widowControl/>
        <w:jc w:val="both"/>
        <w:sectPr w:rsidR="00800BE7">
          <w:pgSz w:w="12240" w:h="15840"/>
          <w:pgMar w:top="1440" w:right="1440" w:bottom="1440" w:left="1440" w:header="1440" w:footer="1440" w:gutter="0"/>
          <w:pgNumType w:fmt="lowerRoman"/>
          <w:cols w:space="720"/>
          <w:noEndnote/>
        </w:sectPr>
      </w:pPr>
    </w:p>
    <w:p w:rsidR="00800BE7" w:rsidRDefault="00800BE7">
      <w:pPr>
        <w:widowControl/>
        <w:jc w:val="both"/>
        <w:sectPr w:rsidR="00800BE7">
          <w:pgSz w:w="12240" w:h="15840"/>
          <w:pgMar w:top="1440" w:right="1440" w:bottom="1440" w:left="1440" w:header="1440" w:footer="1440" w:gutter="0"/>
          <w:pgNumType w:fmt="lowerRoman"/>
          <w:cols w:space="720"/>
          <w:noEndnote/>
        </w:sectPr>
      </w:pPr>
    </w:p>
    <w:p w:rsidR="00800BE7" w:rsidRDefault="00800BE7">
      <w:pPr>
        <w:widowControl/>
        <w:jc w:val="both"/>
        <w:sectPr w:rsidR="00800BE7">
          <w:pgSz w:w="12240" w:h="15840"/>
          <w:pgMar w:top="1440" w:right="1440" w:bottom="1440" w:left="1440" w:header="1440" w:footer="1440" w:gutter="0"/>
          <w:pgNumType w:fmt="lowerRoman"/>
          <w:cols w:space="720"/>
          <w:noEndnote/>
        </w:sectPr>
      </w:pPr>
    </w:p>
    <w:p w:rsidR="00800BE7" w:rsidRDefault="00800BE7">
      <w:pPr>
        <w:widowControl/>
        <w:jc w:val="both"/>
        <w:sectPr w:rsidR="00800BE7">
          <w:pgSz w:w="12240" w:h="15840"/>
          <w:pgMar w:top="1440" w:right="1440" w:bottom="1440" w:left="1440" w:header="1440" w:footer="1440" w:gutter="0"/>
          <w:pgNumType w:fmt="lowerRoman"/>
          <w:cols w:space="720"/>
          <w:noEndnote/>
        </w:sectPr>
      </w:pPr>
    </w:p>
    <w:p w:rsidR="00800BE7" w:rsidRDefault="00800BE7">
      <w:pPr>
        <w:widowControl/>
        <w:jc w:val="both"/>
        <w:sectPr w:rsidR="00800BE7">
          <w:pgSz w:w="12240" w:h="15840"/>
          <w:pgMar w:top="1440" w:right="1440" w:bottom="1440" w:left="1440" w:header="1440" w:footer="1440" w:gutter="0"/>
          <w:pgNumType w:fmt="lowerRoman"/>
          <w:cols w:space="720"/>
          <w:noEndnote/>
        </w:sectPr>
      </w:pPr>
    </w:p>
    <w:p w:rsidR="00800BE7" w:rsidRDefault="00800BE7">
      <w:pPr>
        <w:pStyle w:val="TOC1"/>
        <w:widowControl/>
        <w:ind w:left="0" w:firstLine="0"/>
        <w:jc w:val="both"/>
      </w:pPr>
    </w:p>
    <w:p w:rsidR="00800BE7" w:rsidRDefault="00800BE7">
      <w:pPr>
        <w:pStyle w:val="TOC1"/>
        <w:widowControl/>
        <w:jc w:val="both"/>
        <w:sectPr w:rsidR="00800BE7">
          <w:pgSz w:w="12240" w:h="15840"/>
          <w:pgMar w:top="1440" w:right="1440" w:bottom="1440" w:left="1440" w:header="1440" w:footer="1440" w:gutter="0"/>
          <w:pgNumType w:fmt="lowerRoman"/>
          <w:cols w:space="720"/>
          <w:noEndnote/>
        </w:sectPr>
      </w:pPr>
    </w:p>
    <w:p w:rsidR="00800BE7" w:rsidRDefault="00800BE7">
      <w:pPr>
        <w:widowControl/>
        <w:tabs>
          <w:tab w:val="center" w:pos="4680"/>
        </w:tabs>
        <w:jc w:val="both"/>
        <w:rPr>
          <w:b/>
          <w:bCs/>
        </w:rPr>
      </w:pPr>
      <w:r>
        <w:lastRenderedPageBreak/>
        <w:tab/>
      </w:r>
      <w:r>
        <w:rPr>
          <w:b/>
          <w:bCs/>
        </w:rPr>
        <w:t>AN ESTATE PLANNER’S PERSPECTIVE</w:t>
      </w:r>
    </w:p>
    <w:p w:rsidR="00800BE7" w:rsidRDefault="00800BE7">
      <w:pPr>
        <w:widowControl/>
        <w:tabs>
          <w:tab w:val="center" w:pos="4680"/>
        </w:tabs>
        <w:jc w:val="both"/>
        <w:rPr>
          <w:b/>
          <w:bCs/>
        </w:rPr>
      </w:pPr>
      <w:r>
        <w:rPr>
          <w:b/>
          <w:bCs/>
        </w:rPr>
        <w:tab/>
        <w:t>ON RECENT TAX DEVELOPMENTS –</w:t>
      </w:r>
    </w:p>
    <w:p w:rsidR="00800BE7" w:rsidRDefault="00800BE7">
      <w:pPr>
        <w:widowControl/>
        <w:tabs>
          <w:tab w:val="center" w:pos="4680"/>
        </w:tabs>
        <w:jc w:val="both"/>
      </w:pPr>
      <w:r>
        <w:rPr>
          <w:b/>
          <w:bCs/>
        </w:rPr>
        <w:tab/>
        <w:t>THE YEAR IN REVIEW</w:t>
      </w:r>
    </w:p>
    <w:p w:rsidR="00800BE7" w:rsidRDefault="00800BE7">
      <w:pPr>
        <w:widowControl/>
        <w:jc w:val="both"/>
      </w:pPr>
    </w:p>
    <w:p w:rsidR="00800BE7" w:rsidRDefault="00800BE7">
      <w:pPr>
        <w:widowControl/>
        <w:tabs>
          <w:tab w:val="center" w:pos="4680"/>
        </w:tabs>
        <w:jc w:val="both"/>
      </w:pPr>
      <w:r>
        <w:tab/>
        <w:t>By</w:t>
      </w:r>
    </w:p>
    <w:p w:rsidR="00800BE7" w:rsidRDefault="00800BE7">
      <w:pPr>
        <w:widowControl/>
        <w:jc w:val="both"/>
      </w:pPr>
    </w:p>
    <w:p w:rsidR="00800BE7" w:rsidRDefault="00800BE7">
      <w:pPr>
        <w:widowControl/>
        <w:tabs>
          <w:tab w:val="center" w:pos="4680"/>
        </w:tabs>
        <w:jc w:val="both"/>
      </w:pPr>
      <w:r>
        <w:tab/>
        <w:t>Howard M. Zaritsky, J.D., LL.M. (Tax)</w:t>
      </w:r>
    </w:p>
    <w:p w:rsidR="00800BE7" w:rsidRDefault="00800BE7">
      <w:pPr>
        <w:widowControl/>
        <w:tabs>
          <w:tab w:val="center" w:pos="4680"/>
        </w:tabs>
        <w:jc w:val="both"/>
      </w:pPr>
      <w:r>
        <w:tab/>
        <w:t>Consulting Counsel</w:t>
      </w:r>
    </w:p>
    <w:p w:rsidR="00800BE7" w:rsidRDefault="00800BE7">
      <w:pPr>
        <w:widowControl/>
        <w:tabs>
          <w:tab w:val="center" w:pos="4680"/>
        </w:tabs>
        <w:jc w:val="both"/>
      </w:pPr>
      <w:r>
        <w:tab/>
        <w:t>Rapidan, Virginia</w:t>
      </w:r>
    </w:p>
    <w:p w:rsidR="00800BE7" w:rsidRDefault="00800BE7">
      <w:pPr>
        <w:widowControl/>
        <w:tabs>
          <w:tab w:val="center" w:pos="4680"/>
        </w:tabs>
        <w:jc w:val="both"/>
      </w:pPr>
      <w:r>
        <w:tab/>
      </w:r>
      <w:r>
        <w:rPr>
          <w:rStyle w:val="Hypertext"/>
        </w:rPr>
        <w:t>www.howardzaritsky.com</w:t>
      </w:r>
    </w:p>
    <w:p w:rsidR="00800BE7" w:rsidRDefault="00800BE7">
      <w:pPr>
        <w:widowControl/>
        <w:jc w:val="both"/>
      </w:pPr>
    </w:p>
    <w:p w:rsidR="00800BE7" w:rsidRDefault="00800BE7">
      <w:pPr>
        <w:widowControl/>
        <w:jc w:val="both"/>
      </w:pPr>
    </w:p>
    <w:p w:rsidR="00800BE7" w:rsidRDefault="00800BE7">
      <w:pPr>
        <w:widowControl/>
        <w:jc w:val="both"/>
      </w:pPr>
    </w:p>
    <w:p w:rsidR="00800BE7" w:rsidRDefault="00800BE7">
      <w:pPr>
        <w:widowControl/>
        <w:jc w:val="both"/>
      </w:pPr>
      <w:r>
        <w:rPr>
          <w:b/>
          <w:bCs/>
        </w:rPr>
        <w:t>INTRODUCTION</w:t>
      </w:r>
      <w:r w:rsidR="00BC7053">
        <w:rPr>
          <w:b/>
          <w:bCs/>
        </w:rPr>
        <w:fldChar w:fldCharType="begin"/>
      </w:r>
      <w:r>
        <w:rPr>
          <w:b/>
          <w:bCs/>
        </w:rPr>
        <w:instrText>tc \l1 "INTRODUCTION</w:instrText>
      </w:r>
      <w:r w:rsidR="00BC7053">
        <w:rPr>
          <w:b/>
          <w:bCs/>
        </w:rPr>
        <w:fldChar w:fldCharType="end"/>
      </w:r>
    </w:p>
    <w:p w:rsidR="00800BE7" w:rsidRDefault="00800BE7">
      <w:pPr>
        <w:widowControl/>
        <w:jc w:val="both"/>
      </w:pPr>
    </w:p>
    <w:p w:rsidR="00800BE7" w:rsidRDefault="00800BE7">
      <w:pPr>
        <w:widowControl/>
        <w:ind w:firstLine="720"/>
        <w:jc w:val="both"/>
      </w:pPr>
      <w:r>
        <w:t>The past twelve months have witnessed substantial changes in the estate, gift and generation</w:t>
      </w:r>
      <w:r>
        <w:noBreakHyphen/>
        <w:t>skipping transfer taxes and in the income tax laws relating to estate planning.</w:t>
      </w:r>
    </w:p>
    <w:p w:rsidR="00800BE7" w:rsidRDefault="00800BE7">
      <w:pPr>
        <w:widowControl/>
        <w:jc w:val="both"/>
      </w:pPr>
    </w:p>
    <w:p w:rsidR="00800BE7" w:rsidRDefault="00800BE7">
      <w:pPr>
        <w:widowControl/>
        <w:ind w:firstLine="720"/>
        <w:jc w:val="both"/>
      </w:pPr>
      <w:r>
        <w:t>This outline summarizes the legislation, regulations, revenue rulings and procedures, regular decisions of the Tax Court, the Claims Court and the courts of appeals, as well as selected district court and Tax Court memorandum decisions, private rulings, notices, announcements and other IRS and Treasury documents from the past year.</w:t>
      </w:r>
      <w:r>
        <w:rPr>
          <w:rStyle w:val="FootnoteReference"/>
          <w:vertAlign w:val="superscript"/>
        </w:rPr>
        <w:footnoteReference w:id="1"/>
      </w:r>
      <w:r>
        <w:t xml:space="preserve">  Because of publication deadlines, this outline includes only those developments reported publicly from September 1, 2010 through September 12, 2011.</w:t>
      </w:r>
    </w:p>
    <w:p w:rsidR="00800BE7" w:rsidRDefault="00800BE7">
      <w:pPr>
        <w:widowControl/>
        <w:jc w:val="both"/>
      </w:pPr>
    </w:p>
    <w:p w:rsidR="00800BE7" w:rsidRDefault="00800BE7">
      <w:pPr>
        <w:widowControl/>
        <w:ind w:firstLine="720"/>
        <w:jc w:val="both"/>
      </w:pPr>
      <w:r>
        <w:t>The tax developments in this outline are divided into 5 categories:</w:t>
      </w:r>
    </w:p>
    <w:p w:rsidR="00800BE7" w:rsidRDefault="00800BE7">
      <w:pPr>
        <w:widowControl/>
        <w:jc w:val="both"/>
      </w:pPr>
    </w:p>
    <w:p w:rsidR="00800BE7" w:rsidRDefault="00800BE7">
      <w:pPr>
        <w:widowControl/>
        <w:tabs>
          <w:tab w:val="center" w:pos="4680"/>
        </w:tabs>
        <w:jc w:val="both"/>
      </w:pPr>
      <w:r>
        <w:tab/>
        <w:t>(I) Estate taxes,</w:t>
      </w:r>
    </w:p>
    <w:p w:rsidR="00800BE7" w:rsidRDefault="00800BE7">
      <w:pPr>
        <w:widowControl/>
        <w:tabs>
          <w:tab w:val="center" w:pos="4680"/>
        </w:tabs>
        <w:jc w:val="both"/>
      </w:pPr>
      <w:r>
        <w:tab/>
        <w:t>(II) Gift taxes,</w:t>
      </w:r>
    </w:p>
    <w:p w:rsidR="00800BE7" w:rsidRDefault="00800BE7">
      <w:pPr>
        <w:widowControl/>
        <w:tabs>
          <w:tab w:val="center" w:pos="4680"/>
        </w:tabs>
        <w:jc w:val="both"/>
      </w:pPr>
      <w:r>
        <w:tab/>
        <w:t>(III) Generation</w:t>
      </w:r>
      <w:r>
        <w:noBreakHyphen/>
        <w:t>Skipping Transfer Taxes</w:t>
      </w:r>
    </w:p>
    <w:p w:rsidR="00800BE7" w:rsidRDefault="00800BE7">
      <w:pPr>
        <w:widowControl/>
        <w:tabs>
          <w:tab w:val="center" w:pos="4680"/>
        </w:tabs>
        <w:jc w:val="both"/>
        <w:sectPr w:rsidR="00800BE7">
          <w:pgSz w:w="12240" w:h="15840"/>
          <w:pgMar w:top="1440" w:right="1440" w:bottom="1440" w:left="1440" w:header="1440" w:footer="1440" w:gutter="0"/>
          <w:pgNumType w:start="1"/>
          <w:cols w:space="720"/>
          <w:noEndnote/>
        </w:sectPr>
      </w:pPr>
    </w:p>
    <w:p w:rsidR="00800BE7" w:rsidRDefault="00800BE7">
      <w:pPr>
        <w:widowControl/>
        <w:tabs>
          <w:tab w:val="center" w:pos="4680"/>
        </w:tabs>
        <w:jc w:val="both"/>
      </w:pPr>
      <w:r>
        <w:lastRenderedPageBreak/>
        <w:tab/>
        <w:t>(IV) Special Valuation Rules, and</w:t>
      </w:r>
    </w:p>
    <w:p w:rsidR="00800BE7" w:rsidRDefault="00800BE7">
      <w:pPr>
        <w:widowControl/>
        <w:tabs>
          <w:tab w:val="center" w:pos="4680"/>
        </w:tabs>
        <w:jc w:val="both"/>
      </w:pPr>
      <w:r>
        <w:tab/>
        <w:t>(V) Income Taxes.</w:t>
      </w:r>
    </w:p>
    <w:p w:rsidR="00800BE7" w:rsidRDefault="00800BE7">
      <w:pPr>
        <w:widowControl/>
        <w:jc w:val="both"/>
      </w:pPr>
    </w:p>
    <w:p w:rsidR="00800BE7" w:rsidRDefault="00800BE7">
      <w:pPr>
        <w:widowControl/>
        <w:ind w:firstLine="720"/>
        <w:jc w:val="both"/>
      </w:pPr>
      <w:r>
        <w:t>Each category is divided by Internal Revenue Code section, except that special consolidated discussions examine the various developments relating to the taxation of family partnerships and LLCs and charitable remainder trusts.</w:t>
      </w:r>
    </w:p>
    <w:p w:rsidR="00800BE7" w:rsidRDefault="00800BE7">
      <w:pPr>
        <w:widowControl/>
        <w:jc w:val="both"/>
      </w:pPr>
    </w:p>
    <w:p w:rsidR="00800BE7" w:rsidRDefault="00800BE7">
      <w:pPr>
        <w:widowControl/>
        <w:ind w:firstLine="720"/>
        <w:jc w:val="both"/>
      </w:pPr>
      <w:r>
        <w:t>There is also an additional section, “Selected Attachments,” that includes sample forms illustrating some of the planning techniques discussed in this outline.</w:t>
      </w:r>
    </w:p>
    <w:p w:rsidR="00800BE7" w:rsidRDefault="00800BE7">
      <w:pPr>
        <w:widowControl/>
        <w:jc w:val="both"/>
      </w:pPr>
    </w:p>
    <w:p w:rsidR="00800BE7" w:rsidRDefault="00800BE7">
      <w:pPr>
        <w:widowControl/>
        <w:jc w:val="both"/>
      </w:pPr>
    </w:p>
    <w:p w:rsidR="00800BE7" w:rsidRDefault="00BC7053">
      <w:pPr>
        <w:keepNext/>
        <w:keepLines/>
        <w:widowControl/>
        <w:jc w:val="both"/>
      </w:pPr>
      <w:r>
        <w:rPr>
          <w:b/>
          <w:bCs/>
        </w:rPr>
        <w:fldChar w:fldCharType="begin"/>
      </w:r>
      <w:r w:rsidR="00800BE7">
        <w:rPr>
          <w:b/>
          <w:bCs/>
        </w:rPr>
        <w:instrText>LISTNUM Outline \l 1</w:instrText>
      </w:r>
      <w:r>
        <w:rPr>
          <w:b/>
          <w:bCs/>
        </w:rPr>
        <w:fldChar w:fldCharType="end"/>
      </w:r>
      <w:r w:rsidR="00800BE7">
        <w:rPr>
          <w:b/>
          <w:bCs/>
        </w:rPr>
        <w:tab/>
        <w:t>ESTATE TAXES</w:t>
      </w:r>
      <w:r>
        <w:fldChar w:fldCharType="begin"/>
      </w:r>
      <w:r w:rsidR="00800BE7">
        <w:instrText>tc \l1 "</w:instrText>
      </w:r>
      <w:r w:rsidR="00800BE7">
        <w:rPr>
          <w:b/>
          <w:bCs/>
        </w:rPr>
        <w:instrText>Field result goes here</w:instrText>
      </w:r>
      <w:r w:rsidR="00800BE7">
        <w:rPr>
          <w:b/>
          <w:bCs/>
        </w:rPr>
        <w:tab/>
        <w:instrText>ESTATE TAXES</w:instrText>
      </w:r>
      <w:r>
        <w:fldChar w:fldCharType="end"/>
      </w:r>
    </w:p>
    <w:p w:rsidR="00800BE7" w:rsidRDefault="00800BE7">
      <w:pPr>
        <w:keepNext/>
        <w:keepLines/>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2001.  Estate Tax Reform</w:t>
      </w:r>
      <w:r>
        <w:rPr>
          <w:b/>
          <w:bCs/>
        </w:rPr>
        <w:fldChar w:fldCharType="begin"/>
      </w:r>
      <w:r w:rsidR="00800BE7">
        <w:rPr>
          <w:b/>
          <w:bCs/>
        </w:rPr>
        <w:instrText>tc \l2 "Field result goes here</w:instrText>
      </w:r>
      <w:r w:rsidR="00800BE7">
        <w:rPr>
          <w:b/>
          <w:bCs/>
        </w:rPr>
        <w:tab/>
        <w:instrText>Code § 2001.  Estate Tax Reform</w:instrText>
      </w:r>
      <w:r>
        <w:rPr>
          <w:b/>
          <w:bCs/>
        </w:rP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The Tax Relief Unemployment Insurance Reauthorization and Job Creation Act of 2010 Raises Exemptions, Lowers Rates, and Much More.  Pub. L. 111-312, 111</w:t>
      </w:r>
      <w:r w:rsidR="00800BE7">
        <w:rPr>
          <w:b/>
          <w:bCs/>
          <w:vertAlign w:val="superscript"/>
        </w:rPr>
        <w:t>th</w:t>
      </w:r>
      <w:r w:rsidR="00800BE7">
        <w:rPr>
          <w:b/>
          <w:bCs/>
        </w:rPr>
        <w:t xml:space="preserve"> Cong., 2</w:t>
      </w:r>
      <w:r w:rsidR="00800BE7">
        <w:rPr>
          <w:b/>
          <w:bCs/>
          <w:vertAlign w:val="superscript"/>
        </w:rPr>
        <w:t>nd</w:t>
      </w:r>
      <w:r w:rsidR="00800BE7">
        <w:rPr>
          <w:b/>
          <w:bCs/>
        </w:rPr>
        <w:t xml:space="preserve"> Sess. (Dec. 17, 2010), 124 Stat. 3296</w:t>
      </w:r>
      <w:r>
        <w:fldChar w:fldCharType="begin"/>
      </w:r>
      <w:r w:rsidR="00800BE7">
        <w:instrText>tc \l3 "</w:instrText>
      </w:r>
      <w:r w:rsidR="00800BE7">
        <w:rPr>
          <w:b/>
          <w:bCs/>
        </w:rPr>
        <w:instrText>Field result goes here</w:instrText>
      </w:r>
      <w:r w:rsidR="00800BE7">
        <w:rPr>
          <w:b/>
          <w:bCs/>
        </w:rPr>
        <w:tab/>
        <w:instrText>The Tax Relief Unemployment Insurance Reauthorization and Job Creation Act of 2010 Raises Exemptions, Lowers Rates, and Much More.  Pub. L. 111-312, 111</w:instrText>
      </w:r>
      <w:r w:rsidR="00800BE7">
        <w:rPr>
          <w:b/>
          <w:bCs/>
          <w:vertAlign w:val="superscript"/>
        </w:rPr>
        <w:instrText>th</w:instrText>
      </w:r>
      <w:r w:rsidR="00800BE7">
        <w:rPr>
          <w:b/>
          <w:bCs/>
        </w:rPr>
        <w:instrText xml:space="preserve"> Cong., 2</w:instrText>
      </w:r>
      <w:r w:rsidR="00800BE7">
        <w:rPr>
          <w:b/>
          <w:bCs/>
          <w:vertAlign w:val="superscript"/>
        </w:rPr>
        <w:instrText>nd</w:instrText>
      </w:r>
      <w:r w:rsidR="00800BE7">
        <w:rPr>
          <w:b/>
          <w:bCs/>
        </w:rPr>
        <w:instrText xml:space="preserve"> Sess. (Dec. 17, 2010), 124 Stat. 3296</w:instrText>
      </w:r>
      <w:r>
        <w:fldChar w:fldCharType="end"/>
      </w:r>
    </w:p>
    <w:p w:rsidR="00800BE7" w:rsidRDefault="00800BE7">
      <w:pPr>
        <w:keepNext/>
        <w:keepLines/>
        <w:widowControl/>
        <w:jc w:val="both"/>
      </w:pPr>
    </w:p>
    <w:p w:rsidR="00800BE7" w:rsidRDefault="00800BE7">
      <w:pPr>
        <w:keepNext/>
        <w:keepLines/>
        <w:widowControl/>
        <w:ind w:left="2160"/>
        <w:jc w:val="both"/>
      </w:pPr>
      <w:r>
        <w:t>The Tax Relief Unemployment Insurance Reauthorization and Job Creation Act of 2010 makes the following major changes in the estate, gift and GST tax rules:</w:t>
      </w:r>
    </w:p>
    <w:p w:rsidR="00800BE7" w:rsidRDefault="00800BE7">
      <w:pPr>
        <w:keepNext/>
        <w:keepLines/>
        <w:widowControl/>
        <w:jc w:val="both"/>
      </w:pPr>
    </w:p>
    <w:p w:rsidR="00800BE7" w:rsidRDefault="00800BE7">
      <w:pPr>
        <w:keepLines/>
        <w:widowControl/>
        <w:tabs>
          <w:tab w:val="left" w:pos="-1440"/>
        </w:tabs>
        <w:ind w:left="2880" w:hanging="720"/>
        <w:jc w:val="both"/>
      </w:pPr>
      <w:r>
        <w:t>·</w:t>
      </w:r>
      <w:r>
        <w:tab/>
        <w:t>The TRUIRJCA reinstates the estate tax, together with its estate tax value basis rules, effective January 1, 2010.  The estate tax is retroactively reinstated with a full $5 million applicable exclusion amount and a 35% top tax rate (which, because it applies to all estates above $500,000, creates a flat 35% estate tax rates above the applicable exclusion amount).</w:t>
      </w:r>
    </w:p>
    <w:p w:rsidR="00800BE7" w:rsidRDefault="00800BE7">
      <w:pPr>
        <w:widowControl/>
        <w:jc w:val="both"/>
      </w:pPr>
    </w:p>
    <w:p w:rsidR="00800BE7" w:rsidRDefault="00800BE7">
      <w:pPr>
        <w:widowControl/>
        <w:tabs>
          <w:tab w:val="left" w:pos="-1440"/>
        </w:tabs>
        <w:ind w:left="2880" w:hanging="720"/>
        <w:jc w:val="both"/>
      </w:pPr>
      <w:r>
        <w:t>·</w:t>
      </w:r>
      <w:r>
        <w:tab/>
        <w:t>The TRUIRJCA reinstates allows the executor of a 2010 decedent’s estate to elect out of the estate tax regime (with a $5 million exemption and a 35% rate and basis equal to estate tax value) and into the carryover basis regime (no estate or GST tax and modified carryover basis).  The election, once made, is revocable only with the consent of the Secretary.</w:t>
      </w:r>
    </w:p>
    <w:p w:rsidR="00800BE7" w:rsidRDefault="00800BE7">
      <w:pPr>
        <w:widowControl/>
        <w:jc w:val="both"/>
      </w:pPr>
    </w:p>
    <w:p w:rsidR="00800BE7" w:rsidRDefault="00800BE7">
      <w:pPr>
        <w:widowControl/>
        <w:ind w:left="2880" w:firstLine="720"/>
        <w:jc w:val="both"/>
      </w:pPr>
      <w:r>
        <w:rPr>
          <w:b/>
          <w:bCs/>
        </w:rPr>
        <w:t>Note.</w:t>
      </w:r>
      <w:r>
        <w:t xml:space="preserve">  The decision whether or not a particular estate should be subject to the estate tax and estate tax value basis regime, with a $5 million exemption and 35% top rate, or the no-estate tax and carryover basis regime, will sometimes be obvious, but often it will not be easy.  It is quite easy to </w:t>
      </w:r>
      <w:r>
        <w:lastRenderedPageBreak/>
        <w:t>calculate the estate taxes that would be due, but projecting the effect of modified carryover basis will be more difficult.</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Projecting the tax effects of the modified carryover basis rules requires calculation of the net appreciation in each asset, the character of the gain on the sale of each asset, the tax rate applicable to the gain on the sale of each asset, when each asset is likely to be sold, and whether there are tax benefits that might reduce the tax on such sales (such as the $250,000 exclusion for gain on the sale of a principal residence).  These calculations themselves depend upon the identity of the beneficiaries receiving the assets.</w:t>
      </w:r>
    </w:p>
    <w:p w:rsidR="00800BE7" w:rsidRDefault="00800BE7">
      <w:pPr>
        <w:widowControl/>
        <w:ind w:left="2880" w:firstLine="720"/>
        <w:jc w:val="both"/>
      </w:pPr>
      <w:r>
        <w:t>Assets passing to charity can, of course, be sold without current tax, unless the gain would be unrelated business taxable income.  Assets passing to a beneficiary who is a dealer in such assets, however, may generate ordinary income on their sale. A residence passing to a beneficiary may be sold with favorable tax treatment if the beneficiary makes it his or her primary residence.</w:t>
      </w:r>
    </w:p>
    <w:p w:rsidR="00800BE7" w:rsidRDefault="00800BE7">
      <w:pPr>
        <w:widowControl/>
        <w:ind w:left="2880" w:firstLine="720"/>
        <w:jc w:val="both"/>
      </w:pPr>
      <w:r>
        <w:t>The executor must also determine how the allocation of the available $1.3 million aggregate basis increase and $3 million spousal property basis increases, in order to determine the cost of modified carryover basis.</w:t>
      </w:r>
    </w:p>
    <w:p w:rsidR="00800BE7" w:rsidRDefault="00800BE7">
      <w:pPr>
        <w:widowControl/>
        <w:ind w:left="2880" w:firstLine="720"/>
        <w:jc w:val="both"/>
      </w:pPr>
      <w:r>
        <w:t>In addition, many wills and trusts drafted since 2001 have included alternate dispositions if there is no estate tax applicable with respect to the decedent’s estate.  This election, therefore, may determine both the amount of tax due from the estate, but also who receives the estate itself.  Such an election can be difficult for a family member to make without creating at least the appearance of self-dealing.  Family members who are named as executors of the estate of a 2010 decedent should seriously consider resigning in favor of an independent, professional fiduciary.</w:t>
      </w:r>
    </w:p>
    <w:p w:rsidR="00800BE7" w:rsidRDefault="00800BE7">
      <w:pPr>
        <w:widowControl/>
        <w:ind w:left="2880" w:firstLine="720"/>
        <w:jc w:val="both"/>
      </w:pPr>
      <w:r>
        <w:t>In any event, even an independent professional fiduciary is likely to want court approval of any such election (a benefi</w:t>
      </w:r>
      <w:r>
        <w:softHyphen/>
        <w:t>ciary who is also a fiduciary would be virtually begging for a lawsuit if he or she did not obtain court approval).  The fidu</w:t>
      </w:r>
      <w:r>
        <w:softHyphen/>
        <w:t>ciary should obtain detailed calculations of the tax conse</w:t>
      </w:r>
      <w:r>
        <w:softHyphen/>
        <w:t>quences to the estate, and the consequences to each benefi</w:t>
      </w:r>
      <w:r>
        <w:softHyphen/>
        <w:t>ciary, and propose to the court that the election be made or not be made.  Other interested parties should be provided notice and opportunity to dispute the proposal.  The fiduciary should then act in accordance with the court order.</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lastRenderedPageBreak/>
        <w:t>·</w:t>
      </w:r>
      <w:r>
        <w:tab/>
        <w:t xml:space="preserve">The TRUIRJCA reinstates the GST tax for transactions in 2010, with a $5 million GST exemption.  Section 2664, which </w:t>
      </w:r>
      <w:r>
        <w:lastRenderedPageBreak/>
        <w:t>previously stated that the GST tax rules did not apply to transfers in 2010, is repealed retroactively.  Transferors can allocate GST exemption to transfers made in 2010, including the payment of premiums on life insurance policies held by an irrevocable trust.</w:t>
      </w:r>
    </w:p>
    <w:p w:rsidR="00800BE7" w:rsidRDefault="00800BE7">
      <w:pPr>
        <w:widowControl/>
        <w:jc w:val="both"/>
      </w:pPr>
    </w:p>
    <w:p w:rsidR="00800BE7" w:rsidRDefault="00800BE7">
      <w:pPr>
        <w:widowControl/>
        <w:tabs>
          <w:tab w:val="left" w:pos="-1440"/>
        </w:tabs>
        <w:ind w:left="2880" w:hanging="720"/>
        <w:jc w:val="both"/>
      </w:pPr>
      <w:r>
        <w:t>·</w:t>
      </w:r>
      <w:r>
        <w:tab/>
        <w:t>The TRUIRJCA states that 2010 generation-skipping transfers shall have an applicable rate of zero.  This means that a 2010 direct skip transfer, taxable distribution or taxable termination would not produce a current GST tax obligation, and that the generation step-down rule of Section 2653(a) will protect generation-skipping transfers in trust from imposition of GST tax on subsequent distributions to skip-persons occupying the second generation below that of the transferor.</w:t>
      </w:r>
    </w:p>
    <w:p w:rsidR="00800BE7" w:rsidRDefault="00800BE7">
      <w:pPr>
        <w:widowControl/>
        <w:ind w:left="2880" w:firstLine="720"/>
        <w:jc w:val="both"/>
      </w:pPr>
      <w:r>
        <w:t>For example, a 2010 direct skip transfer in trust for a grandchild of the transferor would not be subject to GST tax in 2010, and the transferor would be assigned to the first genera</w:t>
      </w:r>
      <w:r>
        <w:softHyphen/>
        <w:t>tion above that of the grandchild for purposes of determining the tax on subsequent distributions and terminations of interests.  This would protect the trust from GST tax on subsequent distributions to the grandchild or his or her siblings, but not subsequent distributions to the grandchild’s descen</w:t>
      </w:r>
      <w:r>
        <w:softHyphen/>
        <w:t>dants or those of the grandchild’s siblings, because the generation move-down rule does not change the inclusion ratio of the trust.</w:t>
      </w:r>
    </w:p>
    <w:p w:rsidR="00800BE7" w:rsidRDefault="00800BE7">
      <w:pPr>
        <w:widowControl/>
        <w:jc w:val="both"/>
      </w:pPr>
    </w:p>
    <w:p w:rsidR="00800BE7" w:rsidRDefault="00800BE7">
      <w:pPr>
        <w:widowControl/>
        <w:tabs>
          <w:tab w:val="left" w:pos="-1440"/>
        </w:tabs>
        <w:ind w:left="2880" w:hanging="720"/>
        <w:jc w:val="both"/>
      </w:pPr>
      <w:r>
        <w:t>·</w:t>
      </w:r>
      <w:r>
        <w:tab/>
        <w:t>The TRUIRJCA states that the executor’s election not to apply the estate tax to the estate of a 2010 decedent does not prevent the decedent from being treated as the transferor of the trust for GST tax purposes.  The election not to apply the estate tax is ignored for this purpose and the 2010 decedent is deemed to have made a transfer subject to estate tax for purposes of determining who the transferor is for GST tax purposes.  A generation-skipping trust created in 2010 by testamentary disposition would thus be exempt from the GST tax only to the extent that GST exemption is allocated to create an inclusion ratio of 0.</w:t>
      </w:r>
    </w:p>
    <w:p w:rsidR="00800BE7" w:rsidRDefault="00800BE7">
      <w:pPr>
        <w:widowControl/>
        <w:jc w:val="both"/>
      </w:pPr>
    </w:p>
    <w:p w:rsidR="00800BE7" w:rsidRDefault="00800BE7">
      <w:pPr>
        <w:widowControl/>
        <w:tabs>
          <w:tab w:val="left" w:pos="-1440"/>
        </w:tabs>
        <w:ind w:left="2880" w:hanging="720"/>
        <w:jc w:val="both"/>
      </w:pPr>
      <w:r>
        <w:t>·</w:t>
      </w:r>
      <w:r>
        <w:tab/>
        <w:t>The TRUIRJCA extends the time for filing an estate tax return with respect to the estate of a decedent dying after December 31, 2009, and before the date of enactment, including any elections required to be made on such returns and any disclaimers of interests in such estates, until at least 9 months after the date of enactment (September 19, 2011).</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lastRenderedPageBreak/>
        <w:t>·</w:t>
      </w:r>
      <w:r>
        <w:tab/>
        <w:t>The TRUIRJCA increases the estate and gift tax applicable exclusion amount to $5 million, indexed for inflation after 2011.  It also reduces the top estate tax rate to 35%, creating a flat 35% estate tax on estates above the applicable exclusion amount.  These rules are applicable with respect to estates of decedents dying after December 31, 2009, and before January 1, 2013.</w:t>
      </w:r>
    </w:p>
    <w:p w:rsidR="00800BE7" w:rsidRDefault="00800BE7">
      <w:pPr>
        <w:widowControl/>
        <w:jc w:val="both"/>
      </w:pPr>
    </w:p>
    <w:p w:rsidR="00800BE7" w:rsidRDefault="00800BE7">
      <w:pPr>
        <w:widowControl/>
        <w:tabs>
          <w:tab w:val="left" w:pos="-1440"/>
        </w:tabs>
        <w:ind w:left="2880" w:hanging="720"/>
        <w:jc w:val="both"/>
      </w:pPr>
      <w:r>
        <w:t>·</w:t>
      </w:r>
      <w:r>
        <w:tab/>
        <w:t>The TRUIRJCA increases to $5 million the GST exemption, which is determined with reference to the former.  Code § 2631(c).</w:t>
      </w:r>
    </w:p>
    <w:p w:rsidR="00800BE7" w:rsidRDefault="00800BE7">
      <w:pPr>
        <w:widowControl/>
        <w:jc w:val="both"/>
      </w:pPr>
    </w:p>
    <w:p w:rsidR="00800BE7" w:rsidRDefault="00800BE7">
      <w:pPr>
        <w:widowControl/>
        <w:tabs>
          <w:tab w:val="left" w:pos="-1440"/>
        </w:tabs>
        <w:ind w:left="2880" w:hanging="720"/>
        <w:jc w:val="both"/>
      </w:pPr>
      <w:r>
        <w:t>·</w:t>
      </w:r>
      <w:r>
        <w:tab/>
        <w:t>The TRUIRJCA reunifies the estate and gift tax exemptions after 2010, so that for gifts made in 2011 or 2012, the exemp</w:t>
      </w:r>
      <w:r>
        <w:softHyphen/>
        <w:t>tion is $5 million.  The exemption for gifts made in 2010 is still $1 million.</w:t>
      </w:r>
    </w:p>
    <w:p w:rsidR="00800BE7" w:rsidRDefault="00800BE7">
      <w:pPr>
        <w:widowControl/>
        <w:jc w:val="both"/>
      </w:pPr>
    </w:p>
    <w:p w:rsidR="00800BE7" w:rsidRDefault="00800BE7">
      <w:pPr>
        <w:widowControl/>
        <w:tabs>
          <w:tab w:val="left" w:pos="-1440"/>
        </w:tabs>
        <w:ind w:left="2880" w:hanging="720"/>
        <w:jc w:val="both"/>
      </w:pPr>
      <w:r>
        <w:t>·</w:t>
      </w:r>
      <w:r>
        <w:tab/>
        <w:t>The TRUIRJCA adjusts the estate tax credit for gift taxes paid on lifetime transfers, to reflect the fact that the gift taxes paid in some years were at higher or lower rates than those applicable in the year of death.  New Code § 2001(g) calcu</w:t>
      </w:r>
      <w:r>
        <w:softHyphen/>
        <w:t>lates the estate tax credit for gift taxes paid as if all of the gifts were taxed at the rates applicable on the date of death.</w:t>
      </w:r>
    </w:p>
    <w:p w:rsidR="00800BE7" w:rsidRDefault="00800BE7">
      <w:pPr>
        <w:widowControl/>
        <w:jc w:val="both"/>
      </w:pPr>
    </w:p>
    <w:p w:rsidR="00800BE7" w:rsidRDefault="00800BE7">
      <w:pPr>
        <w:keepLines/>
        <w:widowControl/>
        <w:tabs>
          <w:tab w:val="left" w:pos="-1440"/>
        </w:tabs>
        <w:ind w:left="2880" w:hanging="720"/>
        <w:jc w:val="both"/>
      </w:pPr>
      <w:r>
        <w:t>·</w:t>
      </w:r>
      <w:r>
        <w:tab/>
        <w:t>The TRUIRJCA allows the executor of a decedent’s estate to elect to allow the decedent’s surviving spouse (but no other beneficiary) to take advantage of the decedent’s unused applicable exclusion amount, for the spouse’s estate and gift tax purposes.  This rule applies with respect to estates of decedents dying after 2010 and before January 1, 2013.</w:t>
      </w:r>
    </w:p>
    <w:p w:rsidR="00800BE7" w:rsidRDefault="00800BE7">
      <w:pPr>
        <w:widowControl/>
        <w:jc w:val="both"/>
      </w:pPr>
    </w:p>
    <w:p w:rsidR="00800BE7" w:rsidRDefault="00800BE7">
      <w:pPr>
        <w:widowControl/>
        <w:ind w:left="2880" w:firstLine="720"/>
        <w:jc w:val="both"/>
      </w:pPr>
      <w:r>
        <w:rPr>
          <w:b/>
          <w:bCs/>
        </w:rPr>
        <w:t>Note.</w:t>
      </w:r>
      <w:r>
        <w:t xml:space="preserve">  This election must be made on a timely estate tax return that computes the amount of the unused applicable exclusion amount and that affirmatively elects for the surviving spouse to receive this increased exemption.  The election, once made, is irrevocable.  Code § 2010(c)(5)(A).  The IRS can examine a deceased first spouse’s estate tax return to adjust the amount of applicable exclusion amount carried over by the surviving spouse, without any limitations period on the examination.  Code § 2010(c)(5)(B).</w:t>
      </w:r>
    </w:p>
    <w:p w:rsidR="00800BE7" w:rsidRDefault="00800BE7">
      <w:pPr>
        <w:widowControl/>
        <w:ind w:left="2880" w:firstLine="720"/>
        <w:jc w:val="both"/>
      </w:pPr>
      <w:r>
        <w:t>The increased applicable exclusion amount applies for the surviving spouse’s gift taxes and estate taxes, but not for  GST taxes.  The increased applicable exclusion amount does not, however, change the base amount on which the obligation to file an estate tax return is set.</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The first spouse’s applicable exclusion amount received by the surviving spouse is not indexed for inflation.  Thus, only the surviving spouse’s basic applicable exclusion amount (not the increased amount) would thereafter affected by indexing.  Code § 2010(c)(3)(B).</w:t>
      </w:r>
    </w:p>
    <w:p w:rsidR="00800BE7" w:rsidRDefault="00800BE7">
      <w:pPr>
        <w:widowControl/>
        <w:ind w:left="2880" w:firstLine="720"/>
        <w:jc w:val="both"/>
      </w:pPr>
      <w:r>
        <w:t>The surviving spouse cannot take advantage of a carryover of unused applicable exclusion amounts from more than one predeceasing spouse.  Only the applicable exclusion amount of the last spouse of the decedent can be utilized.  Code § 2010(c)(4)(B)(i).</w:t>
      </w:r>
    </w:p>
    <w:p w:rsidR="00800BE7" w:rsidRDefault="00800BE7">
      <w:pPr>
        <w:widowControl/>
        <w:jc w:val="both"/>
      </w:pPr>
    </w:p>
    <w:p w:rsidR="00800BE7" w:rsidRDefault="00800BE7">
      <w:pPr>
        <w:widowControl/>
        <w:tabs>
          <w:tab w:val="left" w:pos="-1440"/>
        </w:tabs>
        <w:ind w:left="2880" w:hanging="720"/>
        <w:jc w:val="both"/>
      </w:pPr>
      <w:r>
        <w:t>·</w:t>
      </w:r>
      <w:r>
        <w:tab/>
        <w:t>The TRUIRJCA reinstates the EGTRRA sunset rule for the changes made by the Act.  Absent further legislative changes, on January 1, 2013, the estate tax applicable exclusion amount and gift tax exemption will return to $1 million, the GST exemption will return to $1 million indexed for inflation after 1997 (over $1,340,000), the top estate tax rate will return to 55% (with a five percent surtax on certain very large estates), the top gift tax rate will return to 55%, and the GST tax rate will return to 55%.</w:t>
      </w:r>
    </w:p>
    <w:p w:rsidR="00800BE7" w:rsidRDefault="00800BE7">
      <w:pPr>
        <w:widowControl/>
        <w:jc w:val="both"/>
      </w:pPr>
    </w:p>
    <w:p w:rsidR="00800BE7" w:rsidRDefault="00800BE7">
      <w:pPr>
        <w:widowControl/>
        <w:tabs>
          <w:tab w:val="left" w:pos="-1440"/>
        </w:tabs>
        <w:ind w:left="2880" w:hanging="720"/>
        <w:jc w:val="both"/>
      </w:pPr>
      <w:r>
        <w:t>·</w:t>
      </w:r>
      <w:r>
        <w:tab/>
        <w:t>The TRUIRJCA preserves the other EGTRRA changes in the estate tax law through 2012.  These include:</w:t>
      </w:r>
    </w:p>
    <w:p w:rsidR="00800BE7" w:rsidRDefault="00800BE7">
      <w:pPr>
        <w:widowControl/>
        <w:jc w:val="both"/>
      </w:pPr>
    </w:p>
    <w:p w:rsidR="00800BE7" w:rsidRDefault="00800BE7">
      <w:pPr>
        <w:widowControl/>
        <w:tabs>
          <w:tab w:val="left" w:pos="-1440"/>
        </w:tabs>
        <w:ind w:left="3600" w:hanging="720"/>
        <w:jc w:val="both"/>
      </w:pPr>
      <w:r>
        <w:t>(1)</w:t>
      </w:r>
      <w:r>
        <w:tab/>
        <w:t>Repealing of the state death tax credit;</w:t>
      </w:r>
    </w:p>
    <w:p w:rsidR="00800BE7" w:rsidRDefault="00800BE7">
      <w:pPr>
        <w:widowControl/>
        <w:jc w:val="both"/>
      </w:pPr>
    </w:p>
    <w:p w:rsidR="00800BE7" w:rsidRDefault="00800BE7">
      <w:pPr>
        <w:widowControl/>
        <w:tabs>
          <w:tab w:val="left" w:pos="-1440"/>
        </w:tabs>
        <w:ind w:left="3600" w:hanging="720"/>
        <w:jc w:val="both"/>
      </w:pPr>
      <w:r>
        <w:t>(2)</w:t>
      </w:r>
      <w:r>
        <w:tab/>
        <w:t>Expanding the rules for the estate tax deduction of conservation easements;</w:t>
      </w:r>
    </w:p>
    <w:p w:rsidR="00800BE7" w:rsidRDefault="00800BE7">
      <w:pPr>
        <w:widowControl/>
        <w:jc w:val="both"/>
      </w:pPr>
    </w:p>
    <w:p w:rsidR="00800BE7" w:rsidRDefault="00800BE7">
      <w:pPr>
        <w:widowControl/>
        <w:tabs>
          <w:tab w:val="left" w:pos="-1440"/>
        </w:tabs>
        <w:ind w:left="3600" w:hanging="720"/>
        <w:jc w:val="both"/>
      </w:pPr>
      <w:r>
        <w:t>(3)</w:t>
      </w:r>
      <w:r>
        <w:tab/>
        <w:t>Allowing automatic allocation of a donor’s GST exemp</w:t>
      </w:r>
      <w:r>
        <w:softHyphen/>
        <w:t>tion to lifetime transfers that are not direct skips;</w:t>
      </w:r>
    </w:p>
    <w:p w:rsidR="00800BE7" w:rsidRDefault="00800BE7">
      <w:pPr>
        <w:widowControl/>
        <w:jc w:val="both"/>
      </w:pPr>
    </w:p>
    <w:p w:rsidR="00800BE7" w:rsidRDefault="00800BE7">
      <w:pPr>
        <w:widowControl/>
        <w:tabs>
          <w:tab w:val="left" w:pos="-1440"/>
        </w:tabs>
        <w:ind w:left="3600" w:hanging="720"/>
        <w:jc w:val="both"/>
      </w:pPr>
      <w:r>
        <w:t>(4)</w:t>
      </w:r>
      <w:r>
        <w:tab/>
        <w:t>Allowing a transferor to make a retroactive allocation of GST exemption to a transfer in trust, if a beneficiary of the trust is a non-skip person and a lineal descendant of the transferor’s grandparent or a grandparent of the transferor’s spouse, assigned to a generation younger than the transferor’s generation, and if that beneficiary dies before the transferor;</w:t>
      </w:r>
    </w:p>
    <w:p w:rsidR="00800BE7" w:rsidRDefault="00800BE7">
      <w:pPr>
        <w:widowControl/>
        <w:jc w:val="both"/>
      </w:pPr>
    </w:p>
    <w:p w:rsidR="00800BE7" w:rsidRDefault="00800BE7">
      <w:pPr>
        <w:widowControl/>
        <w:tabs>
          <w:tab w:val="left" w:pos="-1440"/>
        </w:tabs>
        <w:ind w:left="3600" w:hanging="720"/>
        <w:jc w:val="both"/>
      </w:pPr>
      <w:r>
        <w:t>(5)</w:t>
      </w:r>
      <w:r>
        <w:tab/>
        <w:t>Allowing the qualified severance of a trust into multiple trusts for GST tax purposes;</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3600" w:hanging="720"/>
        <w:jc w:val="both"/>
      </w:pPr>
      <w:r>
        <w:lastRenderedPageBreak/>
        <w:t>(6)</w:t>
      </w:r>
      <w:r>
        <w:tab/>
        <w:t xml:space="preserve">Providing that the value of property for purposes of determining the GST inclusion ratio in connection with </w:t>
      </w:r>
      <w:r>
        <w:lastRenderedPageBreak/>
        <w:t>timely and automatic allocations of GST exemption, would be its value as finally determined for gift or estate tax purposes;</w:t>
      </w:r>
    </w:p>
    <w:p w:rsidR="00800BE7" w:rsidRDefault="00800BE7">
      <w:pPr>
        <w:widowControl/>
        <w:jc w:val="both"/>
      </w:pPr>
    </w:p>
    <w:p w:rsidR="00800BE7" w:rsidRDefault="00800BE7">
      <w:pPr>
        <w:widowControl/>
        <w:tabs>
          <w:tab w:val="left" w:pos="-1440"/>
        </w:tabs>
        <w:ind w:left="3600" w:hanging="720"/>
        <w:jc w:val="both"/>
      </w:pPr>
      <w:r>
        <w:t>(7)</w:t>
      </w:r>
      <w:r>
        <w:tab/>
        <w:t>Directing the Secretary to grant extensions of time to allocate GST exemption and to grant exceptions to the time requirement, considering all relevant circum</w:t>
      </w:r>
      <w:r>
        <w:softHyphen/>
        <w:t>stances, including evidence of intent contained in the trust instrument or instrument of transfer and such other factors as the Treasury Secretary deems relevant;</w:t>
      </w:r>
    </w:p>
    <w:p w:rsidR="00800BE7" w:rsidRDefault="00800BE7">
      <w:pPr>
        <w:widowControl/>
        <w:jc w:val="both"/>
      </w:pPr>
    </w:p>
    <w:p w:rsidR="00800BE7" w:rsidRDefault="00800BE7">
      <w:pPr>
        <w:widowControl/>
        <w:tabs>
          <w:tab w:val="left" w:pos="-1440"/>
        </w:tabs>
        <w:ind w:left="3600" w:hanging="720"/>
        <w:jc w:val="both"/>
      </w:pPr>
      <w:r>
        <w:t>(8)</w:t>
      </w:r>
      <w:r>
        <w:tab/>
        <w:t>Providing that substantial compliance with the statutory and regulatory requirements for allocating GST tax exemption establishes that GST tax exemption were allocated to a particular transfer or a particular trust;</w:t>
      </w:r>
    </w:p>
    <w:p w:rsidR="00800BE7" w:rsidRDefault="00800BE7">
      <w:pPr>
        <w:widowControl/>
        <w:jc w:val="both"/>
      </w:pPr>
    </w:p>
    <w:p w:rsidR="00800BE7" w:rsidRDefault="00800BE7">
      <w:pPr>
        <w:widowControl/>
        <w:tabs>
          <w:tab w:val="left" w:pos="-1440"/>
        </w:tabs>
        <w:ind w:left="3600" w:hanging="720"/>
        <w:jc w:val="both"/>
      </w:pPr>
      <w:r>
        <w:t>(9)</w:t>
      </w:r>
      <w:r>
        <w:tab/>
        <w:t>Expanding the rules governing deferred payment of estate taxes attributable to closely-held business interests under Section 6166, by:</w:t>
      </w:r>
    </w:p>
    <w:p w:rsidR="00800BE7" w:rsidRDefault="00800BE7">
      <w:pPr>
        <w:widowControl/>
        <w:jc w:val="both"/>
      </w:pPr>
    </w:p>
    <w:p w:rsidR="00800BE7" w:rsidRDefault="00800BE7">
      <w:pPr>
        <w:widowControl/>
        <w:tabs>
          <w:tab w:val="left" w:pos="-1440"/>
        </w:tabs>
        <w:ind w:left="4320" w:hanging="720"/>
        <w:jc w:val="both"/>
      </w:pPr>
      <w:r>
        <w:t xml:space="preserve">(a) </w:t>
      </w:r>
      <w:r>
        <w:tab/>
        <w:t>allowing Section 6166 deferral for interests in qualifying lending and financing businesses, but limiting such deferral to five years;</w:t>
      </w:r>
    </w:p>
    <w:p w:rsidR="00800BE7" w:rsidRDefault="00800BE7">
      <w:pPr>
        <w:widowControl/>
        <w:jc w:val="both"/>
      </w:pPr>
    </w:p>
    <w:p w:rsidR="00800BE7" w:rsidRDefault="00800BE7">
      <w:pPr>
        <w:widowControl/>
        <w:tabs>
          <w:tab w:val="left" w:pos="-1440"/>
        </w:tabs>
        <w:ind w:left="4320" w:hanging="720"/>
        <w:jc w:val="both"/>
      </w:pPr>
      <w:r>
        <w:t xml:space="preserve">(b) </w:t>
      </w:r>
      <w:r>
        <w:tab/>
        <w:t>raising from 15 to 45 the number of partners of a partnership or shareholders of a corporation that will be eligible for deferral under Section 6166.</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Administration Proposes Making 2009 Estate and GST Tax Laws Permanent – With a Few Changes.  Dept. of Treasury “General Explanations of the Administration’s Fiscal Year 2012 Revenue Proposals” pp. 123-130 (Feb. 14, 2011)</w:t>
      </w:r>
      <w:r>
        <w:rPr>
          <w:b/>
          <w:bCs/>
        </w:rPr>
        <w:fldChar w:fldCharType="begin"/>
      </w:r>
      <w:r w:rsidR="00800BE7">
        <w:rPr>
          <w:b/>
          <w:bCs/>
        </w:rPr>
        <w:instrText>tc \l3 "Field result goes here</w:instrText>
      </w:r>
      <w:r w:rsidR="00800BE7">
        <w:rPr>
          <w:b/>
          <w:bCs/>
        </w:rPr>
        <w:tab/>
        <w:instrText>Administration Proposes Making 2009 Estate and GST Tax Laws Permanent – With a Few Changes.  Dept. of Treasury “General Explanations of the Administration’s Fiscal Year 2012 Revenue Proposals” pp. 123-130 (Feb. 14,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The President’s 2012 budget proposals presume the following major changes in the estate, gift and GST taxes.</w:t>
      </w:r>
    </w:p>
    <w:p w:rsidR="00800BE7" w:rsidRDefault="00800BE7">
      <w:pPr>
        <w:widowControl/>
        <w:jc w:val="both"/>
      </w:pPr>
    </w:p>
    <w:p w:rsidR="00800BE7" w:rsidRDefault="00800BE7">
      <w:pPr>
        <w:widowControl/>
        <w:tabs>
          <w:tab w:val="left" w:pos="-1440"/>
        </w:tabs>
        <w:ind w:left="2880" w:hanging="720"/>
        <w:jc w:val="both"/>
      </w:pPr>
      <w:r>
        <w:t>·</w:t>
      </w:r>
      <w:r>
        <w:tab/>
        <w:t>Restoring the 2009 estate, gift and GST tax rules on January 1, 2013.  These would include a top estate, gift and GST tax rate of 45%, a $1 million gift tax exclusion, and a $3.5 million estate and GST basic exclusion amount.  This is the same proposal contained in the 2011 budget proposal;</w:t>
      </w:r>
    </w:p>
    <w:p w:rsidR="00800BE7" w:rsidRDefault="00800BE7">
      <w:pPr>
        <w:widowControl/>
        <w:ind w:left="1440"/>
        <w:jc w:val="both"/>
      </w:pPr>
    </w:p>
    <w:p w:rsidR="00800BE7" w:rsidRDefault="00800BE7">
      <w:pPr>
        <w:widowControl/>
        <w:tabs>
          <w:tab w:val="left" w:pos="-1440"/>
        </w:tabs>
        <w:ind w:left="2880" w:hanging="720"/>
        <w:jc w:val="both"/>
      </w:pPr>
      <w:r>
        <w:t>·</w:t>
      </w:r>
      <w:r>
        <w:tab/>
        <w:t>Making portability of the deceased spousal unused exclusion amount permanent;</w:t>
      </w:r>
    </w:p>
    <w:p w:rsidR="00800BE7" w:rsidRDefault="00800BE7">
      <w:pPr>
        <w:widowControl/>
        <w:ind w:left="1440"/>
        <w:jc w:val="both"/>
      </w:pPr>
    </w:p>
    <w:p w:rsidR="00800BE7" w:rsidRDefault="00800BE7">
      <w:pPr>
        <w:widowControl/>
        <w:ind w:left="1440"/>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lastRenderedPageBreak/>
        <w:t>·</w:t>
      </w:r>
      <w:r>
        <w:tab/>
        <w:t>Require consistency in valuation for income and estate tax purposes, so that beneficiaries were required to use estate tax values to determine the adjusted basis of property received from a decedent.  This proposal was also included in the 2011 budget proposals (see discussion below);</w:t>
      </w:r>
    </w:p>
    <w:p w:rsidR="00800BE7" w:rsidRDefault="00800BE7">
      <w:pPr>
        <w:widowControl/>
        <w:ind w:left="1440"/>
        <w:jc w:val="both"/>
      </w:pPr>
    </w:p>
    <w:p w:rsidR="00800BE7" w:rsidRDefault="00800BE7">
      <w:pPr>
        <w:widowControl/>
        <w:tabs>
          <w:tab w:val="left" w:pos="-1440"/>
        </w:tabs>
        <w:ind w:left="5040" w:hanging="2880"/>
        <w:jc w:val="both"/>
      </w:pPr>
      <w:r>
        <w:t>·</w:t>
      </w:r>
      <w:r>
        <w:tab/>
        <w:t>Permit the Treasury to issue regulations that expand Section 2704(b), to ignore in valuing partnerships, LLCs, and other entities, a new category of “disregarded restrictions,” so as to reduce the use of valuation discounts for such entities.  This proposal was also included in the 2011 budget proposals (see discussion below);</w:t>
      </w:r>
      <w:r>
        <w:tab/>
      </w:r>
    </w:p>
    <w:p w:rsidR="00800BE7" w:rsidRDefault="00800BE7">
      <w:pPr>
        <w:widowControl/>
        <w:jc w:val="both"/>
      </w:pPr>
    </w:p>
    <w:p w:rsidR="00800BE7" w:rsidRDefault="00800BE7">
      <w:pPr>
        <w:widowControl/>
        <w:tabs>
          <w:tab w:val="left" w:pos="-1440"/>
        </w:tabs>
        <w:ind w:left="2880" w:hanging="720"/>
        <w:jc w:val="both"/>
      </w:pPr>
      <w:r>
        <w:t>·</w:t>
      </w:r>
      <w:r>
        <w:tab/>
        <w:t>Require a minimum ten year term for GRATs, require a positive value to the remainder interest in a GRAT, and prevent the use of decreasing payments in a GRAT.  This proposal was also included in the 2011 budget proposals (see discussion below);</w:t>
      </w:r>
    </w:p>
    <w:p w:rsidR="00800BE7" w:rsidRDefault="00800BE7">
      <w:pPr>
        <w:widowControl/>
        <w:ind w:left="1440"/>
        <w:jc w:val="both"/>
      </w:pPr>
    </w:p>
    <w:p w:rsidR="00800BE7" w:rsidRDefault="00800BE7">
      <w:pPr>
        <w:widowControl/>
        <w:tabs>
          <w:tab w:val="left" w:pos="-1440"/>
        </w:tabs>
        <w:ind w:left="2880" w:hanging="720"/>
        <w:jc w:val="both"/>
      </w:pPr>
      <w:r>
        <w:t>·</w:t>
      </w:r>
      <w:r>
        <w:tab/>
        <w:t>Provide that the allocation of GST exemption to a transfer protects that transfer from GST tax for no more than 90 years (see full discussion below).</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Despite 2010 Estate Tax Reform, Some Republicans Continue to Press for Outright Repeal of Estate Tax and Other Changes.  H.R. 6522, 111</w:t>
      </w:r>
      <w:r w:rsidR="00800BE7">
        <w:rPr>
          <w:b/>
          <w:bCs/>
          <w:vertAlign w:val="superscript"/>
        </w:rPr>
        <w:t>th</w:t>
      </w:r>
      <w:r w:rsidR="00800BE7">
        <w:rPr>
          <w:b/>
          <w:bCs/>
        </w:rPr>
        <w:t xml:space="preserve"> Cong., 2</w:t>
      </w:r>
      <w:r w:rsidR="00800BE7">
        <w:rPr>
          <w:b/>
          <w:bCs/>
          <w:vertAlign w:val="superscript"/>
        </w:rPr>
        <w:t>nd</w:t>
      </w:r>
      <w:r w:rsidR="00800BE7">
        <w:rPr>
          <w:b/>
          <w:bCs/>
        </w:rPr>
        <w:t xml:space="preserve"> Sess. (Dec. 15, 2010); H.R. 6538, 111</w:t>
      </w:r>
      <w:r w:rsidR="00800BE7">
        <w:rPr>
          <w:b/>
          <w:bCs/>
          <w:vertAlign w:val="superscript"/>
        </w:rPr>
        <w:t>th</w:t>
      </w:r>
      <w:r w:rsidR="00800BE7">
        <w:rPr>
          <w:b/>
          <w:bCs/>
        </w:rPr>
        <w:t xml:space="preserve"> Cong., 2</w:t>
      </w:r>
      <w:r w:rsidR="00800BE7">
        <w:rPr>
          <w:b/>
          <w:bCs/>
          <w:vertAlign w:val="superscript"/>
        </w:rPr>
        <w:t>nd</w:t>
      </w:r>
      <w:r w:rsidR="00800BE7">
        <w:rPr>
          <w:b/>
          <w:bCs/>
        </w:rPr>
        <w:t xml:space="preserve"> Sess. (Dec. 16, 2010); H.R. 25,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5, 2011); H.R. 86,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5, 2011); H.R. 99,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5, 2011); H.R. 123,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5, 2011); H.R. 143,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5, 2011); H.R. 177,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5, 2011); H.R. 206, 112</w:t>
      </w:r>
      <w:r w:rsidR="00800BE7">
        <w:rPr>
          <w:b/>
          <w:bCs/>
          <w:vertAlign w:val="superscript"/>
        </w:rPr>
        <w:t>th</w:t>
      </w:r>
      <w:r w:rsidR="00800BE7">
        <w:rPr>
          <w:b/>
          <w:bCs/>
        </w:rPr>
        <w:t xml:space="preserve"> Cong., 1st Sess. (Jan. 6, 2011); H.R. 696,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(Feb. 14, 2011); H.R. 1259,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(March 30, 2011); H.R. 1757,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(May 5, 2011); S. 13,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(Jan. 25, 2011); S. 336,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(Feb. 14, 2011); S. 820,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(April 14, 2011)</w:t>
      </w:r>
      <w:r>
        <w:rPr>
          <w:b/>
          <w:bCs/>
        </w:rPr>
        <w:fldChar w:fldCharType="begin"/>
      </w:r>
      <w:r w:rsidR="00800BE7">
        <w:rPr>
          <w:b/>
          <w:bCs/>
        </w:rPr>
        <w:instrText>tc \l3 "Field result goes here</w:instrText>
      </w:r>
      <w:r w:rsidR="00800BE7">
        <w:rPr>
          <w:b/>
          <w:bCs/>
        </w:rPr>
        <w:tab/>
        <w:instrText>Despite 2010 Estate Tax Reform, Some Republicans Continue to Press for Outright Repeal of Estate Tax and Other Changes.  H.R. 6522, 111</w:instrText>
      </w:r>
      <w:r w:rsidR="00800BE7">
        <w:rPr>
          <w:b/>
          <w:bCs/>
          <w:vertAlign w:val="superscript"/>
        </w:rPr>
        <w:instrText>th</w:instrText>
      </w:r>
      <w:r w:rsidR="00800BE7">
        <w:rPr>
          <w:b/>
          <w:bCs/>
        </w:rPr>
        <w:instrText xml:space="preserve"> Cong., 2</w:instrText>
      </w:r>
      <w:r w:rsidR="00800BE7">
        <w:rPr>
          <w:b/>
          <w:bCs/>
          <w:vertAlign w:val="superscript"/>
        </w:rPr>
        <w:instrText>nd</w:instrText>
      </w:r>
      <w:r w:rsidR="00800BE7">
        <w:rPr>
          <w:b/>
          <w:bCs/>
        </w:rPr>
        <w:instrText xml:space="preserve"> Sess. (Dec. 15, 2010); H.R. 6538, 111</w:instrText>
      </w:r>
      <w:r w:rsidR="00800BE7">
        <w:rPr>
          <w:b/>
          <w:bCs/>
          <w:vertAlign w:val="superscript"/>
        </w:rPr>
        <w:instrText>th</w:instrText>
      </w:r>
      <w:r w:rsidR="00800BE7">
        <w:rPr>
          <w:b/>
          <w:bCs/>
        </w:rPr>
        <w:instrText xml:space="preserve"> Cong., 2</w:instrText>
      </w:r>
      <w:r w:rsidR="00800BE7">
        <w:rPr>
          <w:b/>
          <w:bCs/>
          <w:vertAlign w:val="superscript"/>
        </w:rPr>
        <w:instrText>nd</w:instrText>
      </w:r>
      <w:r w:rsidR="00800BE7">
        <w:rPr>
          <w:b/>
          <w:bCs/>
        </w:rPr>
        <w:instrText xml:space="preserve"> Sess. (Dec. 16, 2010); H.R. 25,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5, 2011); H.R. 86,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5, 2011); H.R. 99,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5, 2011); H.R. 123,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5, 2011); H.R. 143,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5, 2011); H.R. 177,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5, 2011); H.R. 206, 112</w:instrText>
      </w:r>
      <w:r w:rsidR="00800BE7">
        <w:rPr>
          <w:b/>
          <w:bCs/>
          <w:vertAlign w:val="superscript"/>
        </w:rPr>
        <w:instrText>th</w:instrText>
      </w:r>
      <w:r w:rsidR="00800BE7">
        <w:rPr>
          <w:b/>
          <w:bCs/>
        </w:rPr>
        <w:instrText xml:space="preserve"> Cong., 1st Sess. (Jan. 6, 2011); H.R. 696,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(Feb. 14, 2011); H.R. 1259,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(March 30, 2011); H.R. 1757,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(May 5, 2011); S. 13,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(Jan. 25, 2011); S. 336,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(Feb. 14, 2011); S. 820,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(April 14, 2011)</w:instrText>
      </w:r>
      <w:r>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The movement to kill the estate (and GST, and maybe gift) tax will not fade quietly away.  Two bills to repeal the estate tax were introduced in the House of Representatives by Republican Members of Congress even as Congress was passing Public Law 111-132, which reformed the wealth transfer taxes for 2010 - 2012.  More bills have been introduced in the 112</w:t>
      </w:r>
      <w:r>
        <w:rPr>
          <w:vertAlign w:val="superscript"/>
        </w:rPr>
        <w:t>th</w:t>
      </w:r>
      <w:r>
        <w:t xml:space="preserve"> Congress further urging outright repeal of the estate tax.  H.R. 6522 (2010) and H.R. 86, both introduced by Rep. Michele Bachmann (R-Minn.), and H.R. 6538 (2010), introduced by Rep. Connie Mack (R-Fla.) would make the Bush income tax cuts permanent, and permanently repeal the estate, gift and GST taxes, retaining the basis step-up (and step-down) rules of Section 1014.  H.R. 123, introduced by Rep. Phil Gingrey (R-Ga.), H.R. 206, introduced by Rep. Randy Neugebauer (R</w:t>
      </w:r>
      <w:r>
        <w:noBreakHyphen/>
        <w:t>Texas), H.R. 696, introduced by Rep. Mike Pence (R-Ind.), and S.336, introduced by Sen. Jim DeMint (R-S.C.), all would make the Bush tax cuts perma</w:t>
      </w:r>
      <w:r>
        <w:softHyphen/>
        <w:t>nent, and restore the estate, gift and GST taxes to their 2010 status (before the 2010 Tax Relief Act), thereby repealing the estate tax and the GST tax, but reinstating carryover basis and a gift tax with a $1 million exclusion amount.  H.R. 99, introduced by Rep. David Dreier (R</w:t>
      </w:r>
      <w:r>
        <w:noBreakHyphen/>
        <w:t>Ca.), would make several other income tax changes, as well as repealing the estate, gift and GST taxes, and retaining the Section 1014 basis rules.  H.R.143, introduced by Rep. Robert E. Latta (R-Ohio), and H.R.177, introduced by Rep. Mac Thornber</w:t>
      </w:r>
      <w:r>
        <w:softHyphen/>
        <w:t>ry (R-Tex.), would simply repeal the estate, gift and GST taxes and retain the basis rules of Section 1014.  H.R. 1259, introduced by Rep. Kevin Brady (R-Tx.) would repeal the estate and GST taxes, retain the gift tax with a $5 million exemption and 35% top rate, and reinstate Section 2511(c).  H.R. 25, introduced by Rep. Rob Woodall (R</w:t>
      </w:r>
      <w:r>
        <w:noBreakHyphen/>
        <w:t>Ga.), and S. 13, introduced by Sen. Saxby Chamblis (R-Ga.) would repeal the income tax, payroll tax, and estate, gift and GST taxes, enact a national sales tax primarily administered by states, and eliminate the IRS.  H.R. 1757, introduced by Rep. Shelley Berkley (D-Nev.) would make the 2010 Tax Relief Act changes permanent.  S. 820, intro</w:t>
      </w:r>
      <w:r>
        <w:softHyphen/>
        <w:t>duced by Sen. Richard Shelby (R-Ala.) would repeal the income, estate, gift and GST taxes, and replace the income tax with a flat tax.</w:t>
      </w:r>
    </w:p>
    <w:p w:rsidR="00800BE7" w:rsidRDefault="00800BE7">
      <w:pPr>
        <w:widowControl/>
        <w:ind w:left="2160" w:firstLine="720"/>
        <w:jc w:val="both"/>
      </w:pPr>
      <w:r>
        <w:rPr>
          <w:b/>
          <w:bCs/>
        </w:rPr>
        <w:t>Note.</w:t>
      </w:r>
      <w:r>
        <w:t xml:space="preserve">  The 2010 election of a Republican majority in the House of Representatives and a stronger Republican minority in the Senate is likely to keep this issue alive.  Practitioners should seriously consider retaining in their clients’ documents provisions directing how their clients’ estates will be disposed of if there is no applicable estate tax on the date of the client’s death.  Practitioners may even justify recommending that new instruments include alternate dispositions in case the estate tax does not apply with respect to a decedent’s estate.  Of course, such provisions are less easily drafted than they were in 2010, because there is no guidance regarding what changes </w:t>
      </w:r>
      <w:r>
        <w:lastRenderedPageBreak/>
        <w:t>in the tax law, such as carryover basis or capital gains at death, might accom</w:t>
      </w:r>
      <w:r>
        <w:softHyphen/>
        <w:t>pany repeal of the estate and GST taxes.</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Provides Guidance on Election Out of the Estate Tax for 2010 Decedents.   Notice 2011-66, 2011-35 I.R.B. 184 (Aug. 29, 2011); Rev. Proc. 2011-41, 2011-35 I.R.B. 188 (Aug. 29, 2011)</w:t>
      </w:r>
      <w:r>
        <w:fldChar w:fldCharType="begin"/>
      </w:r>
      <w:r w:rsidR="00800BE7">
        <w:instrText>tc \l3 "</w:instrText>
      </w:r>
      <w:r w:rsidR="00800BE7">
        <w:rPr>
          <w:b/>
          <w:bCs/>
        </w:rPr>
        <w:instrText>Field result goes here</w:instrText>
      </w:r>
      <w:r w:rsidR="00800BE7">
        <w:rPr>
          <w:b/>
          <w:bCs/>
        </w:rPr>
        <w:tab/>
        <w:instrText>IRS Provides Guidance on Election Out of the Estate Tax for 2010 Decedents.   Notice 2011-66, 2011-35 I.R.B. 184 (Aug. 29, 2011); Rev. Proc. 2011-41, 2011-35 I.R.B. 188 (Aug. 29,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tabs>
          <w:tab w:val="left" w:pos="-1440"/>
        </w:tabs>
        <w:ind w:left="2880" w:hanging="720"/>
        <w:jc w:val="both"/>
      </w:pPr>
      <w:r>
        <w:rPr>
          <w:b/>
          <w:bCs/>
        </w:rPr>
        <w:lastRenderedPageBreak/>
        <w:t>·</w:t>
      </w:r>
      <w:r>
        <w:rPr>
          <w:b/>
          <w:bCs/>
        </w:rPr>
        <w:tab/>
        <w:t>Rev. Proc. 2011-41.</w:t>
      </w:r>
      <w:r>
        <w:t xml:space="preserve">  This procedure provides details respect</w:t>
      </w:r>
      <w:r>
        <w:softHyphen/>
        <w:t>ing the modified carryover basis that apply if a Section 1022 Election is made.  Executors contemplating a Section 1022 Election must determine both the date-of-death fair market value and the decedent’s adjusted basis in all assets passing on account of his or her death, and then determine how to allocate the various basis increases allowed under Section 1022.</w:t>
      </w:r>
    </w:p>
    <w:p w:rsidR="00800BE7" w:rsidRDefault="00800BE7">
      <w:pPr>
        <w:widowControl/>
        <w:ind w:left="720"/>
        <w:jc w:val="both"/>
      </w:pPr>
    </w:p>
    <w:p w:rsidR="00800BE7" w:rsidRDefault="00800BE7">
      <w:pPr>
        <w:widowControl/>
        <w:ind w:left="2880" w:firstLine="720"/>
        <w:jc w:val="both"/>
      </w:pPr>
      <w:r>
        <w:rPr>
          <w:b/>
          <w:bCs/>
        </w:rPr>
        <w:t>Property Acquired From the Decedent.</w:t>
      </w:r>
      <w:r>
        <w:t xml:space="preserve">  Revenue Procedure 2011-41 states that the modified carryover basis rules determine a recipient’s basis in all property acquired from that decedent, regardless of the year in which the property is sold or distributed.  Rev. Proc. 2011-41 § 4.01(1).  This appears to be true even if the property is sold before the Section 1022 Election is actually made.  This generally favors allocating basis to those assets which have been sold before the Section 1022 Election is made, in order to obtain the earliest advantage of the basis increase. </w:t>
      </w:r>
    </w:p>
    <w:p w:rsidR="00800BE7" w:rsidRDefault="00800BE7">
      <w:pPr>
        <w:widowControl/>
        <w:ind w:left="2880" w:firstLine="720"/>
        <w:jc w:val="both"/>
      </w:pPr>
      <w:r>
        <w:t>The modified carryover basis rules apply only to property “acquired from the decedent.”  Property acquired from the decedent includes:</w:t>
      </w:r>
    </w:p>
    <w:p w:rsidR="00800BE7" w:rsidRDefault="00800BE7">
      <w:pPr>
        <w:widowControl/>
        <w:tabs>
          <w:tab w:val="left" w:pos="-1440"/>
        </w:tabs>
        <w:ind w:left="4320" w:hanging="720"/>
        <w:jc w:val="both"/>
      </w:pPr>
      <w:r>
        <w:t xml:space="preserve">(1) </w:t>
      </w:r>
      <w:r>
        <w:tab/>
        <w:t>property acquired by bequest, devise, or inheri</w:t>
      </w:r>
      <w:r>
        <w:softHyphen/>
        <w:t>tance, or by the decedent’s estate from the decedent;</w:t>
      </w:r>
    </w:p>
    <w:p w:rsidR="00800BE7" w:rsidRDefault="00800BE7">
      <w:pPr>
        <w:widowControl/>
        <w:tabs>
          <w:tab w:val="left" w:pos="-1440"/>
        </w:tabs>
        <w:ind w:left="4320" w:hanging="720"/>
        <w:jc w:val="both"/>
      </w:pPr>
      <w:r>
        <w:t xml:space="preserve">(2) </w:t>
      </w:r>
      <w:r>
        <w:tab/>
        <w:t>property transferred by the decedent during his or her lifetime to a qualified revocable trust as defined in Section 645(b)(1), regardless of whether the Section 645 election is made;</w:t>
      </w:r>
    </w:p>
    <w:p w:rsidR="00800BE7" w:rsidRDefault="00800BE7">
      <w:pPr>
        <w:widowControl/>
        <w:tabs>
          <w:tab w:val="left" w:pos="-1440"/>
        </w:tabs>
        <w:ind w:left="4320" w:hanging="720"/>
        <w:jc w:val="both"/>
      </w:pPr>
      <w:r>
        <w:t xml:space="preserve">(3) </w:t>
      </w:r>
      <w:r>
        <w:tab/>
        <w:t xml:space="preserve">property transferred by the decedent during his or her lifetime to a trust that is not a qualified revocable trust, but with respect to which the decedent reserved the right to make any change in the enjoyment of the trust through the exercise of a power to alter, amend, or terminate the trust (including a retained reversionary interest in the </w:t>
      </w:r>
      <w:r>
        <w:lastRenderedPageBreak/>
        <w:t>trust on death or a retained power of appoint</w:t>
      </w:r>
      <w:r>
        <w:softHyphen/>
        <w:t xml:space="preserve">ment); and </w:t>
      </w:r>
    </w:p>
    <w:p w:rsidR="00800BE7" w:rsidRDefault="00800BE7">
      <w:pPr>
        <w:widowControl/>
        <w:tabs>
          <w:tab w:val="left" w:pos="-1440"/>
        </w:tabs>
        <w:ind w:left="4320" w:hanging="720"/>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4320" w:hanging="720"/>
        <w:jc w:val="both"/>
      </w:pPr>
      <w:r>
        <w:lastRenderedPageBreak/>
        <w:t>(4) </w:t>
      </w:r>
      <w:r>
        <w:tab/>
        <w:t>any other property that passes without consider</w:t>
      </w:r>
      <w:r>
        <w:softHyphen/>
        <w:t>ation from the decedent by reason of his or her death, such as any property transferred at the decedent’s subject to the exercise or lapse of a general power of appointment not created by the decedent, property held by the decedent and another person as joint tenants with right of survivorship or as tenants by the entirety, and a surviving spouse’s one</w:t>
      </w:r>
      <w:r>
        <w:noBreakHyphen/>
        <w:t xml:space="preserve">half interest in community property.  Rev. Proc. 2011-41 § 4.01(4). </w:t>
      </w:r>
    </w:p>
    <w:p w:rsidR="00800BE7" w:rsidRDefault="00800BE7">
      <w:pPr>
        <w:widowControl/>
        <w:jc w:val="both"/>
      </w:pPr>
    </w:p>
    <w:p w:rsidR="00800BE7" w:rsidRDefault="00800BE7">
      <w:pPr>
        <w:widowControl/>
        <w:ind w:left="2880" w:firstLine="720"/>
        <w:jc w:val="both"/>
      </w:pPr>
      <w:r>
        <w:t>Property acquired from the decedent does not, however, include:</w:t>
      </w:r>
    </w:p>
    <w:p w:rsidR="00800BE7" w:rsidRDefault="00800BE7">
      <w:pPr>
        <w:widowControl/>
        <w:tabs>
          <w:tab w:val="left" w:pos="-1440"/>
        </w:tabs>
        <w:ind w:left="4320" w:hanging="720"/>
        <w:jc w:val="both"/>
      </w:pPr>
      <w:r>
        <w:t>(1)</w:t>
      </w:r>
      <w:r>
        <w:tab/>
        <w:t>Items of IRD.  Code § 1022(f).  For this purpose, annuities subject to income tax under Section 72 are considered an item of IRD.  Rev. Rul. 2005</w:t>
      </w:r>
      <w:r>
        <w:noBreakHyphen/>
        <w:t>30, 2005</w:t>
      </w:r>
      <w:r>
        <w:noBreakHyphen/>
        <w:t>1 C.B. 1015.  Rev. Proc. 2011-41 § 4.01(2);</w:t>
      </w:r>
    </w:p>
    <w:p w:rsidR="00800BE7" w:rsidRDefault="00800BE7">
      <w:pPr>
        <w:widowControl/>
        <w:tabs>
          <w:tab w:val="left" w:pos="-1440"/>
        </w:tabs>
        <w:ind w:left="4320" w:hanging="720"/>
        <w:jc w:val="both"/>
      </w:pPr>
      <w:r>
        <w:t>(2)</w:t>
      </w:r>
      <w:r>
        <w:tab/>
        <w:t>a decedent’s interest in a qualified terminable interest property (QTIP) trust or similar arrange</w:t>
      </w:r>
      <w:r>
        <w:softHyphen/>
        <w:t>ment funded for the benefit of the decedent by the decedent’s predeceased spouse.  Rev. Proc. 2011-41 § 4.01(4).  Therefore, the income tax treatment of loss assets (those with an adjusted basis higher than their fair market value on the date of decedent’s death) that are held by a QTIP trust created by the decedent’s predeceas</w:t>
      </w:r>
      <w:r>
        <w:softHyphen/>
        <w:t>ing spouse, is more favorable under the modified carryover basis rules than under the estate tax value basis rules.  Under the modified carryover basis rules, the built-in loss is not forfeited be</w:t>
      </w:r>
      <w:r>
        <w:softHyphen/>
        <w:t>cause the assets are not property acquired from a decedent; under the estate tax value basis rules, the basis is decreased to the fair market value of the assets.  This favors making the Section 1022 Election where a QTIP trust for the decedent’s benefit holds substantial loss assets.</w:t>
      </w:r>
    </w:p>
    <w:p w:rsidR="00800BE7" w:rsidRDefault="00800BE7">
      <w:pPr>
        <w:widowControl/>
        <w:jc w:val="both"/>
      </w:pPr>
    </w:p>
    <w:p w:rsidR="00800BE7" w:rsidRDefault="00800BE7">
      <w:pPr>
        <w:widowControl/>
        <w:ind w:left="2880" w:firstLine="720"/>
        <w:jc w:val="both"/>
      </w:pPr>
      <w:r>
        <w:rPr>
          <w:b/>
          <w:bCs/>
        </w:rPr>
        <w:t>Property to Which Basis Increase May be Allocated.</w:t>
      </w:r>
      <w:r>
        <w:t xml:space="preserve">  The aggregate basis increase and the spousal property basis increase (together, the Basis Increase) can be allocated only to property that was also “owned by the decedent at death.” </w:t>
      </w:r>
      <w:r>
        <w:lastRenderedPageBreak/>
        <w:t>Code § 1022(d)(1)(A).  Property that was acquired from the decedent but not owned by the decedent at death, therefore, takes a modified carryover basis, with no possible allocation of Basis Increase.</w:t>
      </w:r>
    </w:p>
    <w:p w:rsidR="00800BE7" w:rsidRDefault="00800BE7">
      <w:pPr>
        <w:widowControl/>
        <w:ind w:left="2160" w:firstLine="720"/>
        <w:jc w:val="both"/>
      </w:pPr>
      <w:r>
        <w:t>Property owned by the decedent at death includes:</w:t>
      </w:r>
    </w:p>
    <w:p w:rsidR="00800BE7" w:rsidRDefault="00800BE7">
      <w:pPr>
        <w:widowControl/>
        <w:tabs>
          <w:tab w:val="left" w:pos="-1440"/>
        </w:tabs>
        <w:ind w:left="4320" w:hanging="720"/>
        <w:jc w:val="both"/>
      </w:pPr>
      <w:r>
        <w:t xml:space="preserve">(1) </w:t>
      </w:r>
      <w:r>
        <w:tab/>
        <w:t>property legally titled in the name of the dece</w:t>
      </w:r>
      <w:r>
        <w:softHyphen/>
        <w:t xml:space="preserve">dent at death (and not held by the decedent solely in a legal or representative capacity); </w:t>
      </w:r>
    </w:p>
    <w:p w:rsidR="00800BE7" w:rsidRDefault="00800BE7">
      <w:pPr>
        <w:widowControl/>
        <w:tabs>
          <w:tab w:val="left" w:pos="-1440"/>
        </w:tabs>
        <w:ind w:left="4320" w:hanging="720"/>
        <w:jc w:val="both"/>
      </w:pPr>
      <w:r>
        <w:t xml:space="preserve">(2) </w:t>
      </w:r>
      <w:r>
        <w:tab/>
        <w:t xml:space="preserve">property owned jointly, whether as tenants in common or with rights of survivorship (see Code § 1022(d)(1)(B)(i)); </w:t>
      </w:r>
    </w:p>
    <w:p w:rsidR="00800BE7" w:rsidRDefault="00800BE7">
      <w:pPr>
        <w:widowControl/>
        <w:tabs>
          <w:tab w:val="left" w:pos="-1440"/>
        </w:tabs>
        <w:ind w:left="4320" w:hanging="720"/>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4320" w:hanging="720"/>
        <w:jc w:val="both"/>
      </w:pPr>
      <w:r>
        <w:lastRenderedPageBreak/>
        <w:t xml:space="preserve">(3) </w:t>
      </w:r>
      <w:r>
        <w:tab/>
        <w:t>property transferred by the decedent during life to a qualified revocable trust as defined in Sec</w:t>
      </w:r>
      <w:r>
        <w:softHyphen/>
        <w:t>tion 645(b)(1), regardless of whether the Section 645 election is made; and</w:t>
      </w:r>
    </w:p>
    <w:p w:rsidR="00800BE7" w:rsidRDefault="00800BE7">
      <w:pPr>
        <w:widowControl/>
        <w:tabs>
          <w:tab w:val="left" w:pos="-1440"/>
        </w:tabs>
        <w:ind w:left="4320" w:hanging="720"/>
        <w:jc w:val="both"/>
      </w:pPr>
      <w:r>
        <w:t xml:space="preserve">(4) </w:t>
      </w:r>
      <w:r>
        <w:tab/>
        <w:t>certain community property (see Section 1022(d)(1)(B)(iv)).  Rev. Proc. 2011-41 § 4.01(4);</w:t>
      </w:r>
    </w:p>
    <w:p w:rsidR="00800BE7" w:rsidRDefault="00800BE7">
      <w:pPr>
        <w:widowControl/>
        <w:tabs>
          <w:tab w:val="left" w:pos="-1440"/>
        </w:tabs>
        <w:ind w:left="4320" w:hanging="720"/>
        <w:jc w:val="both"/>
      </w:pPr>
      <w:r>
        <w:t>(5)</w:t>
      </w:r>
      <w:r>
        <w:tab/>
        <w:t>property of a trust that would not otherwise be deemed to be owned by the decedent, which trust requires that the trust property revert back to the decedent upon death, such as property in a GRAT or QPRT that reverts to the grantor or the grantor’s estate upon his or her death.  Rev. Proc. 2011-41 § 4.01(4), Ex. 2.</w:t>
      </w:r>
    </w:p>
    <w:p w:rsidR="00800BE7" w:rsidRDefault="00800BE7">
      <w:pPr>
        <w:widowControl/>
        <w:jc w:val="both"/>
      </w:pPr>
    </w:p>
    <w:p w:rsidR="00800BE7" w:rsidRDefault="00800BE7">
      <w:pPr>
        <w:keepNext/>
        <w:keepLines/>
        <w:widowControl/>
        <w:ind w:left="2880" w:firstLine="720"/>
        <w:jc w:val="both"/>
      </w:pPr>
      <w:r>
        <w:t xml:space="preserve">Property owned by the decedent at death does not include: </w:t>
      </w:r>
    </w:p>
    <w:p w:rsidR="00800BE7" w:rsidRDefault="00800BE7">
      <w:pPr>
        <w:keepNext/>
        <w:keepLines/>
        <w:widowControl/>
        <w:tabs>
          <w:tab w:val="left" w:pos="-1440"/>
        </w:tabs>
        <w:ind w:left="4320" w:hanging="720"/>
        <w:jc w:val="both"/>
      </w:pPr>
      <w:r>
        <w:t>(1)</w:t>
      </w:r>
      <w:r>
        <w:tab/>
        <w:t xml:space="preserve">property over which the decedent holds any power of appointment; </w:t>
      </w:r>
    </w:p>
    <w:p w:rsidR="00800BE7" w:rsidRDefault="00800BE7">
      <w:pPr>
        <w:keepLines/>
        <w:widowControl/>
        <w:tabs>
          <w:tab w:val="left" w:pos="-1440"/>
        </w:tabs>
        <w:ind w:left="4320" w:hanging="720"/>
        <w:jc w:val="both"/>
      </w:pPr>
      <w:r>
        <w:t>(2)</w:t>
      </w:r>
      <w:r>
        <w:tab/>
        <w:t>property transferred to a trust by the decedent during life, over which the decedent retained a power to alter, amend, or terminate the trust, but not a power to revoke the trust.  Such trusts are not be qualified revocable trusts under Section 645, because the decedent has no power to revest the assets in himself or herself, as defined in Section 676.  See Treas. Reg. § 1.676-1;</w:t>
      </w:r>
    </w:p>
    <w:p w:rsidR="00800BE7" w:rsidRDefault="00800BE7">
      <w:pPr>
        <w:widowControl/>
        <w:tabs>
          <w:tab w:val="left" w:pos="-1440"/>
        </w:tabs>
        <w:ind w:left="4320" w:hanging="720"/>
        <w:jc w:val="both"/>
      </w:pPr>
      <w:r>
        <w:t>(3)</w:t>
      </w:r>
      <w:r>
        <w:tab/>
        <w:t>property transferred to a trust by the decedent during life over which the decedent retained an income interest;</w:t>
      </w:r>
    </w:p>
    <w:p w:rsidR="00800BE7" w:rsidRDefault="00800BE7">
      <w:pPr>
        <w:widowControl/>
        <w:tabs>
          <w:tab w:val="left" w:pos="-1440"/>
        </w:tabs>
        <w:ind w:left="4320" w:hanging="720"/>
        <w:jc w:val="both"/>
      </w:pPr>
      <w:r>
        <w:t>(4)</w:t>
      </w:r>
      <w:r>
        <w:tab/>
        <w:t>property transferred to a foreign trust by a United States grantor, even if the grantor owns the trust for income tax purposes under Section 679;</w:t>
      </w:r>
    </w:p>
    <w:p w:rsidR="00800BE7" w:rsidRDefault="00800BE7">
      <w:pPr>
        <w:widowControl/>
        <w:tabs>
          <w:tab w:val="left" w:pos="-1440"/>
        </w:tabs>
        <w:ind w:left="4320" w:hanging="720"/>
        <w:jc w:val="both"/>
      </w:pPr>
      <w:r>
        <w:lastRenderedPageBreak/>
        <w:t>(5)</w:t>
      </w:r>
      <w:r>
        <w:tab/>
        <w:t>an interest in a QTIP trust or similar arrangement created for the decedent’s benefit by a prede</w:t>
      </w:r>
      <w:r>
        <w:softHyphen/>
        <w:t>ceased spouse. Rev. Proc. 2011-41 § 4.01(4).</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Basis Increase may not be allocated to property that is acquired by the decedent a lifetime transfer for less than adequate and full consideration in money or money’s worth during the three</w:t>
      </w:r>
      <w:r>
        <w:noBreakHyphen/>
        <w:t xml:space="preserve"> year period ending on the date of the dece</w:t>
      </w:r>
      <w:r>
        <w:softHyphen/>
        <w:t>dent’s death, even though that property is both owned by and acquired from the decedent.  Code § 1022(d)(1)(C).  This prohibition does not apply to property acquired by the decedent from his or her spouse, if the property was not transferred to the spouse during such three</w:t>
      </w:r>
      <w:r>
        <w:noBreakHyphen/>
        <w:t>year period in whole or in part by inter vivos transfer for less than adequate and full consider</w:t>
      </w:r>
      <w:r>
        <w:softHyphen/>
        <w:t xml:space="preserve">ation in money or money’s worth.  Rev. Proc. 2011-41 § 4.01(5). </w:t>
      </w:r>
    </w:p>
    <w:p w:rsidR="00800BE7" w:rsidRDefault="00800BE7">
      <w:pPr>
        <w:widowControl/>
        <w:tabs>
          <w:tab w:val="left" w:pos="-1440"/>
        </w:tabs>
        <w:ind w:left="6480" w:hanging="2880"/>
        <w:jc w:val="both"/>
      </w:pPr>
      <w:r>
        <w:t>Basis Increase also may not be allocated to the stock or securities of a foreign personal holding company, a DISC or former DISC, a foreign investment company, or a passive foreign investment company, unless such company is a qualified electing fund as defined in Section 1295 with respect to the decedent, despite the fact that such property is owned by and acquired from the decedent.  Code § 1022(d)(1)(D).  Rev. Proc. 2011-41 § 4.01(5).</w:t>
      </w:r>
      <w:r>
        <w:tab/>
      </w:r>
    </w:p>
    <w:p w:rsidR="00800BE7" w:rsidRDefault="00800BE7">
      <w:pPr>
        <w:widowControl/>
        <w:jc w:val="both"/>
      </w:pPr>
    </w:p>
    <w:p w:rsidR="00800BE7" w:rsidRDefault="00800BE7">
      <w:pPr>
        <w:widowControl/>
        <w:ind w:left="2880" w:firstLine="720"/>
        <w:jc w:val="both"/>
      </w:pPr>
      <w:r>
        <w:rPr>
          <w:b/>
          <w:bCs/>
        </w:rPr>
        <w:t>Determining the Basis Increase.</w:t>
      </w:r>
      <w:r>
        <w:t xml:space="preserve">  The Basis Increase consists of the sum of the General Basis Increase ($1.3 million Aggregate Basis Increase plus the Carryovers/Unre</w:t>
      </w:r>
      <w:r>
        <w:softHyphen/>
        <w:t xml:space="preserve">alized Losses Increase) and the $3 million Spousal Property Basis Increase.  Code §§ 1022(b), 1022(c). </w:t>
      </w:r>
    </w:p>
    <w:p w:rsidR="00800BE7" w:rsidRDefault="00800BE7">
      <w:pPr>
        <w:widowControl/>
        <w:ind w:left="2880" w:firstLine="720"/>
        <w:jc w:val="both"/>
      </w:pPr>
      <w:r>
        <w:t>Revenue Procedure 2011-41 provides substantial guidance on the calculation and use of the Carryovers/Unre</w:t>
      </w:r>
      <w:r>
        <w:softHyphen/>
        <w:t xml:space="preserve">alized Losses Increase.  This increase consists of the sum of: </w:t>
      </w:r>
    </w:p>
    <w:p w:rsidR="00800BE7" w:rsidRDefault="00800BE7">
      <w:pPr>
        <w:widowControl/>
        <w:tabs>
          <w:tab w:val="left" w:pos="-1440"/>
        </w:tabs>
        <w:ind w:left="4320" w:hanging="720"/>
        <w:jc w:val="both"/>
      </w:pPr>
      <w:r>
        <w:t xml:space="preserve">(1) </w:t>
      </w:r>
      <w:r>
        <w:tab/>
        <w:t>the amount of any capital loss carryovers under Section 1212(b) that would (but for the dece</w:t>
      </w:r>
      <w:r>
        <w:softHyphen/>
        <w:t xml:space="preserve">dent’s death) have been carried forward from the </w:t>
      </w:r>
      <w:r>
        <w:lastRenderedPageBreak/>
        <w:t>decedent’s last taxable year to a later taxable year;</w:t>
      </w:r>
    </w:p>
    <w:p w:rsidR="00800BE7" w:rsidRDefault="00800BE7">
      <w:pPr>
        <w:widowControl/>
        <w:tabs>
          <w:tab w:val="left" w:pos="-1440"/>
        </w:tabs>
        <w:ind w:left="4320" w:hanging="720"/>
        <w:jc w:val="both"/>
      </w:pPr>
      <w:r>
        <w:t xml:space="preserve">(2) </w:t>
      </w:r>
      <w:r>
        <w:tab/>
        <w:t>the amount of any net operating loss carryovers under Section 172 that would (but for the dece</w:t>
      </w:r>
      <w:r>
        <w:softHyphen/>
        <w:t>dent’s death) have been carried forward from the decedent’s last taxable year to a later taxable year; and</w:t>
      </w:r>
    </w:p>
    <w:p w:rsidR="00800BE7" w:rsidRDefault="00800BE7">
      <w:pPr>
        <w:widowControl/>
        <w:tabs>
          <w:tab w:val="left" w:pos="-1440"/>
        </w:tabs>
        <w:ind w:left="4320" w:hanging="720"/>
        <w:jc w:val="both"/>
      </w:pPr>
      <w:r>
        <w:t xml:space="preserve">(3) </w:t>
      </w:r>
      <w:r>
        <w:tab/>
        <w:t>the amount of unrealized losses that would have been allowable under section 165, had the property acquired from the decedent been sold at fair market value immediately before the dece</w:t>
      </w:r>
      <w:r>
        <w:softHyphen/>
        <w:t>dent’s death.  Code § 1022(b)(2)(C).  Section 165(c)(3) losses (casualty and theft losses on nonbusiness and noninvestment property) would not arise on a hypothetical sale of the property, and so must be claimed on the decedent’s final income tax return, rather than being included in the Carryovers/Unrealized Losses Increase.  Rev. Proc. 2011-41 § 4.02(2)(b).</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The capital loss deduction limitations, such as the $3,000 annual limitation for the deduction against ordinary income of net long-term capital losses of an individual, are ignored in computing unrealized losses for purposes of the Carryovers/Unrealized Losses Increase.  Code § 1022(b)(2)(C)(ii).  Rev. Proc. 2011-41 § 4.02(2)(b), Ex. 3.</w:t>
      </w:r>
    </w:p>
    <w:p w:rsidR="00800BE7" w:rsidRDefault="00800BE7">
      <w:pPr>
        <w:widowControl/>
        <w:ind w:left="2880" w:firstLine="720"/>
        <w:jc w:val="both"/>
      </w:pPr>
      <w:r>
        <w:t>Existing income tax rules determine the decedent’s share of loss carryovers and unrealized losses under Sections 172 and 1212(b), if the decedent’s final Form 1040 is filed jointly with the decedent’s surviving spouse.  Thus for example, a calendar year decedent and surviving spouse who file a joint tax return for 2010 determine these amounts based on their relative tax liability in the decedent’s final taxable year ending on the date of the decedent’s death, and the surviving spouse’s taxable year ending on December 31, 2010.  Rev. Proc. 2011-41 § 4.02(2)(b).</w:t>
      </w:r>
    </w:p>
    <w:p w:rsidR="00800BE7" w:rsidRDefault="00800BE7">
      <w:pPr>
        <w:widowControl/>
        <w:ind w:left="2880" w:firstLine="720"/>
        <w:jc w:val="both"/>
      </w:pPr>
      <w:r>
        <w:t>The $3 million Spousal Property Basis Increase may be allocated to “qualified spousal property” owned by and ac</w:t>
      </w:r>
      <w:r>
        <w:softHyphen/>
        <w:t>quired from the decedent.  Qualified spousal property is property that either is transferred outright to the decedent’s surviving spouse or is QTIP, as defined for Federal estate tax purposes, whether or not held in trust.</w:t>
      </w:r>
    </w:p>
    <w:p w:rsidR="00800BE7" w:rsidRDefault="00800BE7">
      <w:pPr>
        <w:widowControl/>
        <w:ind w:left="2880" w:firstLine="720"/>
        <w:jc w:val="both"/>
      </w:pPr>
      <w:r>
        <w:t xml:space="preserve">The executor may allocate Spousal Property Basis Increase to qualified spousal property that has already been distributed or that is sold before its distribution, whether the </w:t>
      </w:r>
      <w:r>
        <w:lastRenderedPageBreak/>
        <w:t>allocation is made before or after the sale.  Rev. Proc. 2011-41 § 4.02(3).  Spousal Property Basis Increase may be allocated to property that the estate sells even if the allocation would produce a net loss on the sale, as long as the allocation does not increase the adjusted basis above the fair market value of the asset on the date of death.  Rev. Proc. 2011-41 § 4.02(3), Ex. 4.</w:t>
      </w:r>
    </w:p>
    <w:p w:rsidR="00800BE7" w:rsidRDefault="00800BE7">
      <w:pPr>
        <w:widowControl/>
        <w:ind w:left="2880" w:firstLine="720"/>
        <w:jc w:val="both"/>
      </w:pPr>
      <w:r>
        <w:t>The Spousal Property Basis Increase may be allocated only if the executor:</w:t>
      </w:r>
    </w:p>
    <w:p w:rsidR="00800BE7" w:rsidRDefault="00800BE7">
      <w:pPr>
        <w:widowControl/>
        <w:tabs>
          <w:tab w:val="left" w:pos="-1440"/>
        </w:tabs>
        <w:ind w:left="4320" w:hanging="720"/>
        <w:jc w:val="both"/>
      </w:pPr>
      <w:r>
        <w:t xml:space="preserve">(1) </w:t>
      </w:r>
      <w:r>
        <w:tab/>
        <w:t xml:space="preserve">certifies on the Form 8939 that the net proceeds from the sale of that property will be distributed to or for the benefit of the decedent’s surviving spouse in a manner that would qualify property as qualified spousal property; and </w:t>
      </w:r>
    </w:p>
    <w:p w:rsidR="00800BE7" w:rsidRDefault="00800BE7">
      <w:pPr>
        <w:widowControl/>
        <w:tabs>
          <w:tab w:val="left" w:pos="-1440"/>
        </w:tabs>
        <w:ind w:left="4320" w:hanging="720"/>
        <w:jc w:val="both"/>
      </w:pPr>
      <w:r>
        <w:t xml:space="preserve">(2) </w:t>
      </w:r>
      <w:r>
        <w:tab/>
        <w:t xml:space="preserve">attaches to Form 8939 (discussed below) each document providing a bequest or devise to the surviving spouse. </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6480" w:hanging="2880"/>
        <w:jc w:val="both"/>
      </w:pPr>
      <w:r>
        <w:lastRenderedPageBreak/>
        <w:t>The executor cannot allocate the Spousal Property Basis Increase to any portion of the assets or the proceeds of the disposition of the assets that are themselves not distributed to the surviving spouse.  Thus, the Spousal Property Basis Increase cannot be allocated to assets that are left to the surviving spouse, if the executor sells them and applies the proceeds to pay administrative expenses or taxes.  Rev. Proc. 2011-41 § 4.02(3), Exs. 5 and 6.</w:t>
      </w:r>
      <w:r>
        <w:tab/>
      </w:r>
    </w:p>
    <w:p w:rsidR="00800BE7" w:rsidRDefault="00800BE7">
      <w:pPr>
        <w:widowControl/>
        <w:ind w:left="2880" w:firstLine="720"/>
        <w:jc w:val="both"/>
      </w:pPr>
      <w:r>
        <w:t>The Spousal Property Basis Increase may be allocated to property held by a qualified testamentary charitable remain</w:t>
      </w:r>
      <w:r>
        <w:softHyphen/>
        <w:t>der trust, if the surviving spouse is the sole non</w:t>
      </w:r>
      <w:r>
        <w:noBreakHyphen/>
        <w:t>charitable beneficiary and the trust would have qualified for the estate tax marital deduction had no Section 1022 Election been made.  Code § 2056(b)(8); Rev. Proc. 2011-41 § 4.02(3).</w:t>
      </w:r>
    </w:p>
    <w:p w:rsidR="00800BE7" w:rsidRDefault="00800BE7">
      <w:pPr>
        <w:widowControl/>
        <w:jc w:val="both"/>
      </w:pPr>
    </w:p>
    <w:p w:rsidR="00800BE7" w:rsidRDefault="00800BE7">
      <w:pPr>
        <w:widowControl/>
        <w:ind w:left="2880" w:firstLine="720"/>
        <w:jc w:val="both"/>
      </w:pPr>
      <w:r>
        <w:rPr>
          <w:b/>
          <w:bCs/>
        </w:rPr>
        <w:t>Nonresident Alien Basis Increase</w:t>
      </w:r>
      <w:r>
        <w:t xml:space="preserve">.  The U.S. assets owned by a nonresident alien decedent may receive a $60,000 Aggregate Basis Increase, with no Carryovers/Unrealized </w:t>
      </w:r>
      <w:r>
        <w:lastRenderedPageBreak/>
        <w:t>Losses Increase.  Code § 1022(b)(3).  The executor of the U.S. estate of a nonresident alien decedent may also allocate the $3 million Spousal Property Basis Increase to qualified spousal property owned by and acquired from the decedent.  Rev. Proc. 2011-41 § 4.02(4).</w:t>
      </w:r>
    </w:p>
    <w:p w:rsidR="00800BE7" w:rsidRDefault="00800BE7">
      <w:pPr>
        <w:widowControl/>
        <w:jc w:val="both"/>
      </w:pPr>
    </w:p>
    <w:p w:rsidR="00800BE7" w:rsidRDefault="00800BE7">
      <w:pPr>
        <w:widowControl/>
        <w:ind w:left="2880" w:firstLine="720"/>
        <w:jc w:val="both"/>
      </w:pPr>
      <w:r>
        <w:rPr>
          <w:b/>
          <w:bCs/>
        </w:rPr>
        <w:t xml:space="preserve">Allocating Basis Increase. </w:t>
      </w:r>
      <w:r>
        <w:t xml:space="preserve"> The executor has very broad authority in the manner in which the Basis Increase is allocated among the property owned by and acquired from the decedent.  The Basis Increase must be allocated on a property</w:t>
      </w:r>
      <w:r>
        <w:noBreakHyphen/>
        <w:t>by</w:t>
      </w:r>
      <w:r>
        <w:softHyphen/>
        <w:t>-property basis, but it may be allocated to one or more shares of stock or to a particular block of stock, rather than to the decedent’s entire holding of that stock.  Basis Increase may be allocated to property even after the executor has disposed of or distributed the property.  Of course, an executor may not allocate more Basis Increase to an asset than will be needed to raise its adjusted basis to its fair market value on the date of death.  Code § 1022(d)(2).  Rev. Proc. 2011-41 § 4.03.</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 xml:space="preserve">The executor may allocate Basis Increase to an interest in property owned by the decedent, such as a life estate or remainder interest.  If the decedent’s death results in the division of the decedent’s property into different interests, however, other than undivided portions or fractional interests of each and every interest or right in the property that was owned by the decedent, Basis Increase may not be allocated separately to the various interests in that property created by reason of the decedent’s death.  Thus, if the decedent leaves property that he or she owns outright to different persons as a life estate and remainder, Basis Increase may be allocated to the property owned by the decedent at death, but not to the life estate and/or the remainder interest.  Rev. Proc. 2011-41 § 4.03. </w:t>
      </w:r>
    </w:p>
    <w:p w:rsidR="00800BE7" w:rsidRDefault="00800BE7">
      <w:pPr>
        <w:widowControl/>
        <w:ind w:left="2880" w:firstLine="720"/>
        <w:jc w:val="both"/>
      </w:pPr>
      <w:r>
        <w:t>The authority for allocating Basis Increase to undivided portions or fractional interests of each and every interest or right in the property means that a decedent who leaves property in various shares, whether or not they are easily severable, can allocate Basis Increase to one share dispropor</w:t>
      </w:r>
      <w:r>
        <w:softHyphen/>
        <w:t>tionately.  For example, if decedent leaves Blackacre equally to Spouse and Child, the executor could allocate the General Basis Increase entirely to the share passing to Child.</w:t>
      </w:r>
    </w:p>
    <w:p w:rsidR="00800BE7" w:rsidRDefault="00800BE7">
      <w:pPr>
        <w:widowControl/>
        <w:jc w:val="both"/>
      </w:pPr>
    </w:p>
    <w:p w:rsidR="00800BE7" w:rsidRDefault="00800BE7">
      <w:pPr>
        <w:widowControl/>
        <w:ind w:left="2880" w:firstLine="720"/>
        <w:jc w:val="both"/>
      </w:pPr>
      <w:r>
        <w:rPr>
          <w:b/>
          <w:bCs/>
        </w:rPr>
        <w:t>Determining Fair Market Value.</w:t>
      </w:r>
      <w:r>
        <w:t xml:space="preserve">  The fair market value of property for modified carryover basis purposes is determined in the same fashion as it would have been for </w:t>
      </w:r>
      <w:r>
        <w:lastRenderedPageBreak/>
        <w:t>estate tax purposes.  The executor must attach any appraisals required under the estate tax rules to the Form 8939.  Rev. Proc. 2011-41 § 4.04(1).</w:t>
      </w:r>
    </w:p>
    <w:p w:rsidR="00800BE7" w:rsidRDefault="00800BE7">
      <w:pPr>
        <w:widowControl/>
        <w:ind w:left="2880" w:firstLine="720"/>
        <w:jc w:val="both"/>
      </w:pPr>
      <w:r>
        <w:t>The Basis Increase allocated to property acquired from the decedent by a recipient cannot increase the recipient’s basis above the fair market value of that property or interest on the date of death.  The fair market value of an undivided portion of the decedent’s property that is acquired from the decedent at death is deemed to be a fractional share of the total fair market value of the decedent’s property at death, without any discounts or premiums that were not applicable in determining the value of the decedent’s own interest.  Rev. Proc. 2011-41 § 4.04(2).  Thus, if the decedent leaves Black</w:t>
      </w:r>
      <w:r>
        <w:softHyphen/>
        <w:t>acre, worth $1 million at his or her death, equally to Spouse and Child as tenants-in-common, the value of their interests, as a cap on the Basis Increase allocation, is $500,000, without regard to the fact that tenancy-in-common interests are usually significantly less marketable than interests held in one’s sole name.  This is a very generous rule, because it increases the value of the various shares of the property for purposes of Basis Increase allocation.</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rPr>
          <w:b/>
          <w:bCs/>
        </w:rPr>
        <w:lastRenderedPageBreak/>
        <w:t xml:space="preserve">Special Rules for Community Property. </w:t>
      </w:r>
      <w:r>
        <w:t xml:space="preserve"> Both the decedent’s interest and the spouse’s interest in community property owned by them on the date of the decedent’s death are treated as property owned by and acquired from the decedent.  Code § 1022(d)(1)(B)(iv); Rev. Proc. 2011-41 § 4.05.  Therefore, the surviving spouse’s basis in his or her one</w:t>
      </w:r>
      <w:r>
        <w:noBreakHyphen/>
        <w:t>half interest in community property will be adjusted on the decedent’s death to the lesser of the surviving spouse’s own adjusted basis or the fair market value of that interest on the decedent’s date of death.  Basis Increase may be allocated to the surviving spouse’s one</w:t>
      </w:r>
      <w:r>
        <w:noBreakHyphen/>
        <w:t xml:space="preserve">half interest in community property.  Rev. Proc. 2011-41 § 4.05, Ex. 7. </w:t>
      </w:r>
    </w:p>
    <w:p w:rsidR="00800BE7" w:rsidRDefault="00800BE7">
      <w:pPr>
        <w:widowControl/>
        <w:ind w:left="2880" w:firstLine="720"/>
        <w:jc w:val="both"/>
      </w:pPr>
      <w:r>
        <w:t>All of the unrealized losses that would have been allowable to both the decedent and the surviving spouse had the property been sold at fair market value immediately before the decedent’s death, are included in the General Basis Increase.  Only the decedent’s own net operating loss carryovers and capital loss carryovers, however, are included in the General Basis Increase.  The decedent’s net operating loss carryovers and capital loss carryovers that are deductible on the final jointly filed Form 1040 are not added to the General Basis Increase.  Rev. Proc. 2011-41 § 4.05.</w:t>
      </w:r>
    </w:p>
    <w:p w:rsidR="00800BE7" w:rsidRDefault="00800BE7">
      <w:pPr>
        <w:widowControl/>
        <w:jc w:val="both"/>
      </w:pPr>
    </w:p>
    <w:p w:rsidR="00800BE7" w:rsidRDefault="00800BE7">
      <w:pPr>
        <w:widowControl/>
        <w:ind w:left="2880" w:firstLine="720"/>
        <w:jc w:val="both"/>
      </w:pPr>
      <w:r>
        <w:rPr>
          <w:b/>
          <w:bCs/>
        </w:rPr>
        <w:lastRenderedPageBreak/>
        <w:t>Holding Period.</w:t>
      </w:r>
      <w:r>
        <w:t xml:space="preserve">  The holding period of a recipient’s property the basis of which is determined under the modified carryover basis rules, includes the decedent’s holding period, even if the executor allocates sufficient Basis Increase to the property to give it a basis equal to its fair market value on the date of death.  The applicable percentage determination for purposes of the depreciation recapture rules of Section 1250, which adjusts the amount of potential recapture based on the length of the taxpayer’s holding period, is calculated under the recapture rules applicable to acquisitions by gift.  The recipi</w:t>
      </w:r>
      <w:r>
        <w:softHyphen/>
        <w:t>ent’s holding period in property the basis of which is deter</w:t>
      </w:r>
      <w:r>
        <w:softHyphen/>
        <w:t>mined under the modified carryover basis rules, therefore, includes the decedent’s holding period, regardless of whether the executor allocates Basis Increase to that property.  Rev. Proc. 2011-41 §4.06(1).</w:t>
      </w:r>
    </w:p>
    <w:p w:rsidR="00800BE7" w:rsidRDefault="00800BE7">
      <w:pPr>
        <w:widowControl/>
        <w:jc w:val="both"/>
      </w:pPr>
    </w:p>
    <w:p w:rsidR="00800BE7" w:rsidRDefault="00800BE7">
      <w:pPr>
        <w:widowControl/>
        <w:ind w:left="2880" w:firstLine="720"/>
        <w:jc w:val="both"/>
      </w:pPr>
      <w:r>
        <w:rPr>
          <w:b/>
          <w:bCs/>
        </w:rPr>
        <w:t xml:space="preserve">Tax Character of Property. </w:t>
      </w:r>
      <w:r>
        <w:t xml:space="preserve"> The tax character of property acquired from the decedent by a recipient (such as whether it is an investment asset or inventory) is determined in the same way as its holding period.  Thus, to the extent a recipient’s basis in property is determined under the modified carryover basis rules, the tax character of the property is the same as it would have been in the hands of the decedent.  For example, depreciable tangible personal property of a decedent that passes to a beneficiary who holds it for nonbusiness purposes remains subject to the ordinary income recapture rules of Section 1245.  Rev. Proc. 2011-41 § 4.06(2), Ex. 9.</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rPr>
          <w:b/>
          <w:bCs/>
        </w:rPr>
        <w:lastRenderedPageBreak/>
        <w:t>Depreciation of Property Acquired from the Dece</w:t>
      </w:r>
      <w:r>
        <w:rPr>
          <w:b/>
          <w:bCs/>
        </w:rPr>
        <w:softHyphen/>
        <w:t>dent.</w:t>
      </w:r>
      <w:r>
        <w:t xml:space="preserve">  Property acquired from a decedent to which the modified carryover basis rules apply may be depreciable in the hands of the recipient, even if it was not depreciable in the hands of the decedent, if the recipient changes its tax character.  The recipient, however, remains bound by the decedent’s deprecia</w:t>
      </w:r>
      <w:r>
        <w:softHyphen/>
        <w:t>tion method, recovery period, and conventions with respect to that portion of the recipient’s basis in the property that equals the decedent’s adjusted basis in the property.  If the property is depreciable property in the hands of both the decedent and the recipient during 2010, the allowable depreciation deduction for 2010 is allocated between them on a monthly basis.  See Treas. Reg. § 1.168(d)</w:t>
      </w:r>
      <w:r>
        <w:noBreakHyphen/>
        <w:t xml:space="preserve">1(b)(7)(ii).  The portion of the recipient’s basis in the property that exceeds the decedent’s adjusted basis in the property on the date of death, including any Basis Increase allocated to the property, is </w:t>
      </w:r>
      <w:r>
        <w:lastRenderedPageBreak/>
        <w:t>treated for depreciation purposes as a separate asset placed in service on the date of the decedent’s death.  Rev. Proc. 2011-41 § 4.06(3).</w:t>
      </w:r>
    </w:p>
    <w:p w:rsidR="00800BE7" w:rsidRDefault="00800BE7">
      <w:pPr>
        <w:widowControl/>
        <w:jc w:val="both"/>
      </w:pPr>
    </w:p>
    <w:p w:rsidR="00800BE7" w:rsidRDefault="00800BE7">
      <w:pPr>
        <w:widowControl/>
        <w:ind w:left="2880" w:firstLine="720"/>
        <w:jc w:val="both"/>
      </w:pPr>
      <w:r>
        <w:rPr>
          <w:b/>
          <w:bCs/>
        </w:rPr>
        <w:t>Passive Activity Losses.</w:t>
      </w:r>
      <w:r>
        <w:t xml:space="preserve">  An interest in a passive activity that is transferred at the death of a 2010 decedent whose executor makes a valid Section 1022 Election is determined under the rules for transfers of interests by gift.  The basis of such interest immediately before the transfer, therefore, is increased by the amount of any passive activity losses allocable to such interest that have not been allowed as deductions as a result of Section 469(a).  These losses cannot be deducted for any taxable year.  The basis adjustment under Section 469(j)(6) is deemed to occur immediately before the decedent’s death, and is applied to determine the decedent’s adjusted basis in the property at death for purposes of the modified carryover basis rules.  Any loss that would have been sustained under Sections 165(c)(1) or (c)(2) on a hypothetical sale of the property immediately before the decedent’s death may be included as Section 165 losses in the General Basis Increase.  Because the reduction in the hypothetical loss under section 165 by reason of the Section 469 basis adjustment equals the amount of passive activity loss added to the dece</w:t>
      </w:r>
      <w:r>
        <w:softHyphen/>
        <w:t xml:space="preserve">dent’s basis, the IRS concluded that there is no duplication of a benefit under these two sections.  Rev. Proc. 2011-41 § 4.06(4), Ex. 10. </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All of the suspended passive activity losses allocable to both spouse’s interest in community property are used to determine the decedent’s and the spouse’s adjusted basis in the community property under the modified carryover basis rules, and to determine the amount of unrealized Section 165 losses included in the General Basis Increase.  Passive losses that are used to increase basis and/or to increase the General Basis Increase, may not thereafter be deducted by the surviv</w:t>
      </w:r>
      <w:r>
        <w:softHyphen/>
        <w:t xml:space="preserve">ing spouse.  Losses attributable to the surviving spouse’s interest in community property that are not so used by the decedent’s executor remain the surviving spouse’s own suspended passive activity losses.  Rev. Proc. 2011-41 § 4.06(4), Ex. 11. </w:t>
      </w:r>
    </w:p>
    <w:p w:rsidR="00800BE7" w:rsidRDefault="00800BE7">
      <w:pPr>
        <w:widowControl/>
        <w:jc w:val="both"/>
      </w:pPr>
    </w:p>
    <w:p w:rsidR="00800BE7" w:rsidRDefault="00800BE7">
      <w:pPr>
        <w:widowControl/>
        <w:ind w:left="2880" w:firstLine="720"/>
        <w:jc w:val="both"/>
      </w:pPr>
      <w:r>
        <w:rPr>
          <w:b/>
          <w:bCs/>
        </w:rPr>
        <w:t>Satisfaction of Pecuniary Bequest with Appreciated Property.</w:t>
      </w:r>
      <w:r>
        <w:t xml:space="preserve">  Section 1040 states that an estate the executor of which distributes appreciated carryover basis property to satisfy a pecuniary bequest, must recognize gain only to the extent the post mortem increase in the value of the asset.  The </w:t>
      </w:r>
      <w:r>
        <w:lastRenderedPageBreak/>
        <w:t>same rule is applied to distributions of appreciated trust property made in satisfaction of trust provisions that are the equivalent of a pecuniary bequest, but only to the extent so provided in regulations.  The Revenue Procedure creates a safe harbor for distributions from a qualified revocable trust, as defined in Section 645(b)(1), or from trusts that would have been included in the decedent’s gross estate for federal estate tax purposes under Sections 2036, 2037, or 2038, had the decedent’s executor not made the Section 1022 Election.  Section 1040 does not apply to the distribution of property that constitutes an item of IRD.  Rev. Proc. 2011-41 § 4.06(5).</w:t>
      </w:r>
    </w:p>
    <w:p w:rsidR="00800BE7" w:rsidRDefault="00800BE7">
      <w:pPr>
        <w:widowControl/>
        <w:jc w:val="both"/>
      </w:pPr>
    </w:p>
    <w:p w:rsidR="00800BE7" w:rsidRDefault="00800BE7">
      <w:pPr>
        <w:widowControl/>
        <w:ind w:left="2880" w:firstLine="720"/>
        <w:jc w:val="both"/>
      </w:pPr>
      <w:r>
        <w:rPr>
          <w:b/>
          <w:bCs/>
        </w:rPr>
        <w:t>Transfers to Foreign Estates and Nongrantor Trusts.</w:t>
      </w:r>
      <w:r>
        <w:t xml:space="preserve">  Section 684 states that any transfer of appreciated property by a U.S. person to a foreign estate or nongrantor trust is treated as a sale or exchange on which the transferor recognizes gain.  This provision also applies to transfers of property occurring on the 2010 death of a decedent whose executor makes the Section 1022 Election.  The regulations make an exception for transfers of property by reason of the death of a U.S. person, if the basis of the property in the hands of the recipient is determined under the estate-tax-value basis rules of Section 1014(a).  Treas. Reg. § 1.684-3(c).  Revenue Procedure 2011-41 states that if property is owned by and acquired from a U.S. decedent dying in 2010, the executor’s allocation of Basis Increase will be deemed to occur before the application of Section 684, reducing or eliminating recognition of gain under Section 684.</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rPr>
          <w:b/>
          <w:bCs/>
        </w:rPr>
        <w:lastRenderedPageBreak/>
        <w:t>Testamentary Charitable Remainder Trusts.</w:t>
      </w:r>
      <w:r>
        <w:t xml:space="preserve">  The IRS stated that a testamentary charitable remainder trust that is otherwise qualified, but that fails to meet the requirement that a deduction is allowable under Section 2055, solely because the decedent’s executor makes a Section 1022 Election, will still be a qualified charitable remainder trust.  Rev. Proc. 2011-41 § 4.07.</w:t>
      </w:r>
    </w:p>
    <w:p w:rsidR="00800BE7" w:rsidRDefault="00800BE7">
      <w:pPr>
        <w:widowControl/>
        <w:jc w:val="both"/>
      </w:pPr>
    </w:p>
    <w:p w:rsidR="00800BE7" w:rsidRDefault="00800BE7">
      <w:pPr>
        <w:widowControl/>
        <w:ind w:left="2880" w:firstLine="720"/>
        <w:jc w:val="both"/>
      </w:pPr>
      <w:r>
        <w:rPr>
          <w:b/>
          <w:bCs/>
        </w:rPr>
        <w:t>Effective Date.</w:t>
      </w:r>
      <w:r>
        <w:t xml:space="preserve">  This revenue procedure is effective August 29, 2011, the date this revenue procedure was pub</w:t>
      </w:r>
      <w:r>
        <w:softHyphen/>
        <w:t>lished in the Internal Revenue Bulletin.  Taxpayers may apply the safe harbor rule in the revenue procedure for prior periods, however.</w:t>
      </w:r>
    </w:p>
    <w:p w:rsidR="00800BE7" w:rsidRDefault="00800BE7">
      <w:pPr>
        <w:widowControl/>
        <w:jc w:val="both"/>
      </w:pPr>
    </w:p>
    <w:p w:rsidR="00800BE7" w:rsidRDefault="00800BE7">
      <w:pPr>
        <w:widowControl/>
        <w:tabs>
          <w:tab w:val="left" w:pos="-1440"/>
        </w:tabs>
        <w:ind w:left="2880" w:hanging="720"/>
        <w:jc w:val="both"/>
      </w:pPr>
      <w:r>
        <w:rPr>
          <w:b/>
          <w:bCs/>
        </w:rPr>
        <w:lastRenderedPageBreak/>
        <w:t>·</w:t>
      </w:r>
      <w:r>
        <w:rPr>
          <w:b/>
          <w:bCs/>
        </w:rPr>
        <w:tab/>
        <w:t>Notice 2011-66.</w:t>
      </w:r>
      <w:r>
        <w:t xml:space="preserve">  This notice provides detailed guidance regarding how and when to make the Section 1022 Election, and how to make other GST tax elections and allocations that may be needed by an executor who is not filing an estate tax return for a 2010 decedent.</w:t>
      </w:r>
    </w:p>
    <w:p w:rsidR="00800BE7" w:rsidRDefault="00800BE7">
      <w:pPr>
        <w:widowControl/>
        <w:jc w:val="both"/>
      </w:pPr>
    </w:p>
    <w:p w:rsidR="00800BE7" w:rsidRDefault="00800BE7">
      <w:pPr>
        <w:widowControl/>
        <w:ind w:left="2880" w:firstLine="720"/>
        <w:jc w:val="both"/>
      </w:pPr>
      <w:r>
        <w:rPr>
          <w:b/>
          <w:bCs/>
        </w:rPr>
        <w:t>How to Make the Election.</w:t>
      </w:r>
      <w:r>
        <w:t xml:space="preserve">  The executor of the estate of a 2010 decedent can elect out of the estate tax by filing a Form 8939, “Allocation of Increase in Basis for Property Acquired From a Decedent.”  This form has not yet been released, by the press release accompanying the issuance of Notice 2011-66 and Revenue Procedure 2011-41 states that it will be published in “early this fall”.  Inf. Rel. 2011-83 (Aug. 5, 2011).  Notice 2011-66 § I.A.</w:t>
      </w:r>
    </w:p>
    <w:p w:rsidR="00800BE7" w:rsidRDefault="00800BE7">
      <w:pPr>
        <w:widowControl/>
        <w:ind w:left="2880" w:firstLine="720"/>
        <w:jc w:val="both"/>
      </w:pPr>
      <w:r>
        <w:t>Form 8939 must be filed on or before November 15, 2011.  Once made, the Section 1022 Election is irrevocable, except as provided later in the notice.  Any prior filing that purported to be a Section 1022 Election must be replaced by a Form 8939.  Notice 2011-66 § I.A.</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An executor cannot validly file both an estate tax return and a Form 8939 for a 2010 decedent.  The executor must select one or the other.  The IRS will, if it receives both a Form 8939 and an estate tax return (either Form 706 or Form 706-NA) for the same decedent, issue a letter to each person who filed such a form, notifying them of the conflicting forms and the name and address of each other person who filed a form, and explaining that each person must collectively sign and file either a restated estate tax return or a restated Form 8939 within 90 days from the date the IRS mails the letters.  If no restated form is filed within that period, the IRS will determine whether the executor has made a Section 1022 Election or the estate remains subject to the estate tax, considering all relevant facts and circumstances disclosed to the IRS, includ</w:t>
      </w:r>
      <w:r>
        <w:softHyphen/>
        <w:t>ing (but not limited to) the relative total fair market values of the decedent’s property in the executors’ possession and the nature and significance of the economic impact of the Section 1022 Election (or its loss) on the beneficial owners of the property held by each executor.  The IRS notes that some factors may be more relevant, and may be accorded more weight, than others for any particular estate.  Notice 2011-66 § I.A.  The IRS does not explain how it will weigh various factors or whether it will seek to maximize revenue by its actions.  Practitioners should remember that the IRS’s job is not to minimize the tax obligation for an estate and its benefi</w:t>
      </w:r>
      <w:r>
        <w:softHyphen/>
        <w:t xml:space="preserve">ciaries, </w:t>
      </w:r>
      <w:r>
        <w:lastRenderedPageBreak/>
        <w:t>and there is no assurance that they will do so if the parties fail to make a correct Section 1022 Election.</w:t>
      </w:r>
    </w:p>
    <w:p w:rsidR="00800BE7" w:rsidRDefault="00800BE7">
      <w:pPr>
        <w:widowControl/>
        <w:jc w:val="both"/>
      </w:pPr>
    </w:p>
    <w:p w:rsidR="00800BE7" w:rsidRDefault="00800BE7">
      <w:pPr>
        <w:widowControl/>
        <w:ind w:left="2880" w:firstLine="720"/>
        <w:jc w:val="both"/>
      </w:pPr>
      <w:r>
        <w:rPr>
          <w:b/>
          <w:bCs/>
        </w:rPr>
        <w:t>Allocating the Basis Increase.</w:t>
      </w:r>
      <w:r>
        <w:t xml:space="preserve">  The executor must allocate the Basis Increase on a timely filed Form 8939.  Section 2203 determines who is the “executor” for this pur</w:t>
      </w:r>
      <w:r>
        <w:softHyphen/>
        <w:t>pose, so if someone is appointed, qualified, and acting for a decedent’s U.S. estate, the IRS generally will only accept Section 1022 Elections filed by that person.  If no person has been so appointed, anyone in actual or constructive posses</w:t>
      </w:r>
      <w:r>
        <w:softHyphen/>
        <w:t>sion of property acquired from the decedent may file a Form 8939 and allocate Basis Increase for the property he or she actually or constructively possesses.  The IRS will, if it receives multiple Forms 8939 that collectively purport to allocate more Basis Increase than is legally available, issue a letter to each person who filed such a form, informing them of the name and address of each other person who filed a Form 8939 for that decedent, and explaining that each of them must collectively sign and file a single, restated Form 8939 allocating available Basis Increase in order to make a Section 1022 Election.  The restated Form 8939 must be filed within 90 days from the date the IRS mails such letters.  If no timely, signed and restated Form 8939, is filed, the IRS will allocate the available Basis Increase as it, in its discretion, may determine, considering all relevant facts and circumstances disclosed to the IRS.  That allocation might, the IRS states, be made on a pro-rata basis, based on the amount of unrecognized appreciation in the property owned by the decedent at death that was reported on the timely filed Forms 8939, or in any other manner deemed appropriate for the particular decedent’s estate by the IRS in the exercise of its discretion.  Notice 2011-66 § I.B.  Practitio</w:t>
      </w:r>
      <w:r>
        <w:softHyphen/>
        <w:t>ners should be cautious about allowing the IRS to make such an allocation, since the IRS is unlikely to make the maximum effort to minimize ultimate income tax liabilities.</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The IRS cautions that the recipient’s basis in a particular property (including the amount of Basis Increase allocated to that property) is subject to adjustment upon the examination by the IRS of any tax return reporting a value dependent upon the property’s basis (for example, the property’s depreciation, sale, or other disposition that triggers gain or loss on the property, or otherwise). Notice 2011-66 § I.B.</w:t>
      </w:r>
    </w:p>
    <w:p w:rsidR="00800BE7" w:rsidRDefault="00800BE7">
      <w:pPr>
        <w:widowControl/>
        <w:jc w:val="both"/>
      </w:pPr>
    </w:p>
    <w:p w:rsidR="00800BE7" w:rsidRDefault="00800BE7">
      <w:pPr>
        <w:widowControl/>
        <w:ind w:left="2880" w:firstLine="720"/>
        <w:jc w:val="both"/>
      </w:pPr>
      <w:r>
        <w:rPr>
          <w:b/>
          <w:bCs/>
        </w:rPr>
        <w:t>Reporting Requirements.</w:t>
      </w:r>
      <w:r>
        <w:t xml:space="preserve">  An executor making a Section 1022 Election must report and value on the Form 8939 </w:t>
      </w:r>
      <w:r>
        <w:lastRenderedPageBreak/>
        <w:t>all property (excluding cash and property that constitutes the right to receive an item of income in respect of a decedent) acquired from the decedent.  Code § 6018(b)(1).  In addition, the executor also must report all appreciated property acquired from the decedent, valued as of the decedent’s date of death, that was required to be included on a donor’s Form 709, United States Gift (and Generation-Skipping Transfer) Tax Return, where the property was acquired by the decedent by inter vivos transfer for less than adequate and full consideration in money or money’s worth during the three-year period ending on the date of the decedent’s death.  Code § 6018(b)(2).  This does not include property transferred to the decedent by the dece</w:t>
      </w:r>
      <w:r>
        <w:softHyphen/>
        <w:t>dent’s spouse, unless the spouse acquired the property in whole or in part by inter vivos transfer for less than adequate and full consideration in money or money’s worth during that same three-year period.  Notice 2011-66 § I.C.</w:t>
      </w:r>
    </w:p>
    <w:p w:rsidR="00800BE7" w:rsidRDefault="00800BE7">
      <w:pPr>
        <w:widowControl/>
        <w:ind w:left="2880" w:firstLine="720"/>
        <w:jc w:val="both"/>
      </w:pPr>
      <w:r>
        <w:t>The executor of the U.S. estate of a deceased nonresi</w:t>
      </w:r>
      <w:r>
        <w:softHyphen/>
        <w:t>dent alien need only report tangible property situated in the United States that is acquired from the decedent and any other property acquired from the decedent by a U.S. person.  Notice 2011-66 § I.C.</w:t>
      </w:r>
    </w:p>
    <w:p w:rsidR="00800BE7" w:rsidRDefault="00800BE7">
      <w:pPr>
        <w:widowControl/>
        <w:tabs>
          <w:tab w:val="left" w:pos="-1440"/>
        </w:tabs>
        <w:ind w:left="5040" w:hanging="1440"/>
        <w:jc w:val="both"/>
      </w:pPr>
      <w:r>
        <w:t>The executor must, within 30 days after filing a timely Form 8939, provide a statement to each recipient acquiring property reported on Form 8939.  If there are multiple execu</w:t>
      </w:r>
      <w:r>
        <w:softHyphen/>
        <w:t>tors, each must file this statement.  This statement must set forth the information required under Section 6018(c), whether or not Basis Increase is allocated to such property.  Notice 2011-66 § I.C.</w:t>
      </w:r>
      <w:r>
        <w:tab/>
      </w:r>
    </w:p>
    <w:p w:rsidR="00800BE7" w:rsidRDefault="00800BE7">
      <w:pPr>
        <w:widowControl/>
        <w:ind w:left="2880" w:firstLine="720"/>
        <w:jc w:val="both"/>
      </w:pPr>
      <w:r>
        <w:t>The executor must also provide updated statements to each recipient of property reported on Form 8939, if an adjustment is made to the basis.  This updated statement must be filed within 30 days after making the adjustment or receiving notice of the adjustment from the IRS, whichever is applicable.  Notice 2011-66 § I.C.</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rPr>
          <w:b/>
          <w:bCs/>
        </w:rPr>
        <w:lastRenderedPageBreak/>
        <w:t xml:space="preserve"> When to File Form 8939.</w:t>
      </w:r>
      <w:r>
        <w:t xml:space="preserve">  In general, Form 8939 is due November 15, 2011.  A Form 8939 filed before that date may be amended or revoked on another Form 8939 filed on or before November 15, 2011.  No Form 8939 filed by one executor will have any effect on any Form 8939 filed by a different executor.  Notice 2011-66 § I.D.1.</w:t>
      </w:r>
    </w:p>
    <w:p w:rsidR="00800BE7" w:rsidRDefault="00800BE7">
      <w:pPr>
        <w:widowControl/>
        <w:ind w:left="2880" w:firstLine="720"/>
        <w:jc w:val="both"/>
      </w:pPr>
      <w:r>
        <w:lastRenderedPageBreak/>
        <w:t>The IRS will not grant extensions of time to file a Form 8939 and will not accept a Form 8939 or an amended Form 8939 filed after November 15, 2011, except in the event of conflicting filings or in certain relief situations described below.  Thus, a taxpayer cannot file both an estate tax return and a Form 8939 that would be effective only if an estate tax audit results in an increase in the gross estate above the applicable exclusion amount.  Notice 2011-66 § I.D.2.</w:t>
      </w:r>
    </w:p>
    <w:p w:rsidR="00800BE7" w:rsidRDefault="00800BE7">
      <w:pPr>
        <w:widowControl/>
        <w:ind w:left="2880" w:firstLine="720"/>
        <w:jc w:val="both"/>
      </w:pPr>
      <w:r>
        <w:t xml:space="preserve">Persons qualifying under Section 7508 (persons serving the military in a combat zone or contingency operation) or Section 7508A (cases involving Presidentially-declared disaster or terroristic or military actions), are eligible to file a Form 8939 after November 15, 2011, as provided in those sections.  Any executor filing a Form 8939 after November 15, 2011, pursuant to Sections 7508 or 7508A should write “Filed Pursuant to Section 7508” or </w:t>
      </w:r>
      <w:r>
        <w:sym w:font="Symbol" w:char="F05F"/>
      </w:r>
      <w:r>
        <w:t>Filed Pursuant to Section 7508A</w:t>
      </w:r>
      <w:r>
        <w:sym w:font="Symbol" w:char="F05F"/>
      </w:r>
      <w:r>
        <w:t>, as applicable, on the top of the form.  The extension applies even if one does not write these notations at the top of the form, however.  Furthermore, for decedents qualifying for relief under section 692 (members of Armed Forces, astronauts, and victims of certain terrorist attacks on death), an executor must file a Form 8939 to make the Section 1022 Election.  Notice 2011-66 § I.D.1.</w:t>
      </w:r>
    </w:p>
    <w:p w:rsidR="00800BE7" w:rsidRDefault="00800BE7">
      <w:pPr>
        <w:widowControl/>
        <w:ind w:left="2880" w:firstLine="720"/>
        <w:jc w:val="both"/>
      </w:pPr>
      <w:r>
        <w:t>Four types of relief from the filing requirements for Form 8939 are available.  First, an amended Form 8939 may be filed after November 15, 2011, for the sole purpose of allocating Spousal Property Basis Increase among the property eligible to receive an allocation of that basis.  This late return is permitted if: (1) the Form 8939 was timely filed and was otherwise complete when filed; and (2) the amended Form 8939 is filed no more than 90 days after the date of the distribution of the qualified spousal property to which Spousal Property Basis Increase is allocated on that amended Form 8939.   Notice 2011-66 § I.D.2.</w:t>
      </w:r>
    </w:p>
    <w:p w:rsidR="00800BE7" w:rsidRDefault="00800BE7">
      <w:pPr>
        <w:widowControl/>
        <w:tabs>
          <w:tab w:val="left" w:pos="-1440"/>
        </w:tabs>
        <w:ind w:left="7200" w:hanging="3600"/>
        <w:jc w:val="both"/>
      </w:pPr>
      <w:r>
        <w:t xml:space="preserve">Second, an executor who timely files a Form 8939 may file an amended Form 8939 on or before May 15, 2012, if Section 9100 relief is obtained under Regulations Section 301.9100-2(b).  This amendment may not </w:t>
      </w:r>
      <w:r>
        <w:lastRenderedPageBreak/>
        <w:t>be filed to revoke a Section 1022 Election, and the executor must write “Filed Pursuant to Section 301.9100-2” on the top of the amended Form 8939.  Notice 2011-66 § I.D.2.</w:t>
      </w:r>
      <w:r>
        <w:tab/>
      </w:r>
    </w:p>
    <w:p w:rsidR="00800BE7" w:rsidRDefault="00800BE7">
      <w:pPr>
        <w:widowControl/>
        <w:tabs>
          <w:tab w:val="left" w:pos="-1440"/>
        </w:tabs>
        <w:ind w:left="7200" w:hanging="360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Third, an executor may also ask for Section 9100 relief to supplement a timely filed Form 8939, in order to extend the time to allocate any Basis Increase that has not previously been validly allocated.  This relief, if appropriate, will be granted only if: (1) after filing the Form 8939, the executor discovers additional property to which remaining Basis In</w:t>
      </w:r>
      <w:r>
        <w:softHyphen/>
        <w:t>crease could be allocated; and/or (2) the fair market value of property reported on the Form 8939 is adjusted as the result of an IRS examination or inquiry.  Relief will not be granted to reduce an allocation of Basis Increase made on a timely filed Form 8939.  Notice 2011-66 § I.D.2.  This relief does not appear to be available to change an allocation other than because of after-discovered assets or adjustments in value due to an IRS examination or inquiry.</w:t>
      </w:r>
    </w:p>
    <w:p w:rsidR="00800BE7" w:rsidRDefault="00800BE7">
      <w:pPr>
        <w:widowControl/>
        <w:ind w:left="2880" w:firstLine="720"/>
        <w:jc w:val="both"/>
      </w:pPr>
      <w:r>
        <w:t>Fourth, an executor may apply for Section 9100 relief to extend the time to file Form 8939, to make the Section 1022 Election and allocate Basis Increase.  In this context, however, the IRS states that the amount of time that has elapsed since the decedent’s death may constitute a lack of reasonableness and good faith and/or prejudice to the interests of the govern</w:t>
      </w:r>
      <w:r>
        <w:softHyphen/>
        <w:t>ment (for example, the use of hindsight to achieve a more favorable tax result and/or the lack of records available to establish what property was or was not owned by the decedent at death), which would prevent the grant of the requested relief. Notice 2011-66 § I.D.2.</w:t>
      </w:r>
    </w:p>
    <w:p w:rsidR="00800BE7" w:rsidRDefault="00800BE7">
      <w:pPr>
        <w:widowControl/>
        <w:jc w:val="both"/>
      </w:pPr>
    </w:p>
    <w:p w:rsidR="00800BE7" w:rsidRDefault="00800BE7">
      <w:pPr>
        <w:widowControl/>
        <w:ind w:left="2880" w:firstLine="720"/>
        <w:jc w:val="both"/>
      </w:pPr>
      <w:r>
        <w:rPr>
          <w:b/>
          <w:bCs/>
        </w:rPr>
        <w:t>GST Tax in 2010.</w:t>
      </w:r>
      <w:r>
        <w:t xml:space="preserve">  The GST tax was retroactively reinstated and applies to the estates of all decedents who died in 2010, even if a Section 1022 Election is made.  The applica</w:t>
      </w:r>
      <w:r>
        <w:softHyphen/>
        <w:t>ble rate for GST transfers in 2010 is zero, which the IRS interprets to mean that the maximum federal estate tax rate for purposes of computing the GST tax on such a transfer is deemed to be zero.  Therefore, the only way to achieve a zero inclusion ratio for a 2010 transfer is to allocate GST exemption to the transfer.  Notice 2011-66 § II.A.</w:t>
      </w:r>
    </w:p>
    <w:p w:rsidR="00800BE7" w:rsidRDefault="00800BE7">
      <w:pPr>
        <w:widowControl/>
        <w:ind w:left="2880" w:firstLine="720"/>
        <w:jc w:val="both"/>
        <w:rPr>
          <w:b/>
          <w:bCs/>
        </w:rPr>
      </w:pPr>
      <w:r>
        <w:lastRenderedPageBreak/>
        <w:t>An executor who makes the Section 1022 Election may allocate the decedent’s available GST exemption by attaching the Schedule R of Form 8939 to the Form 8939 for that estate.  If the Form 8939 is timely filed, the GST allocation will be considered timely made.  Notice 2011-66 § II.A.</w:t>
      </w:r>
    </w:p>
    <w:p w:rsidR="00800BE7" w:rsidRDefault="00800BE7">
      <w:pPr>
        <w:widowControl/>
        <w:ind w:left="2880" w:firstLine="720"/>
        <w:jc w:val="both"/>
        <w:rPr>
          <w:b/>
          <w:bCs/>
        </w:rPr>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rPr>
          <w:b/>
          <w:bCs/>
        </w:rPr>
      </w:pPr>
      <w:r>
        <w:lastRenderedPageBreak/>
        <w:t>A donor of a 2010 inter vivos direct skip who wishes to pay GST tax at the applicable rate of zero percent should also want to avoid automatic allocation of GST exemption to the transfer, since such exemption would be wasted.  Such a donor may elect out of the automatic allocation of GST exemption to an outright inter vivos direct skip by filing a timely gift tax return (Form 709), describing both the transfer and the extent to which the automatic allocation is not to apply.  The IRS will interpret the reporting of an inter vivos direct skip not in trust occurring in 2010 on a timely filed gift tax return as constituting the payment of tax (at the rate of zero percent), which itself constitutes a valid election out of the automatic allocation of GST exemption to that direct skip.  This interpreta</w:t>
      </w:r>
      <w:r>
        <w:softHyphen/>
        <w:t>tion also applies to a direct skip not in trust occurring at the close of an estate tax inclusion period (ETIP) in 2010, other than by reason of the donor’s death.  This interpretation does not extend to direct skips in trust, however, because a donor may reasonably not want to allocate GST exemption to a 2010 direct skip made to a trust.  This interpretation will also not apply to either a direct skip or the closure of an ETIP occa</w:t>
      </w:r>
      <w:r>
        <w:softHyphen/>
        <w:t>sioned by the donor’s death in 2010.  Treas. Reg. § 26.2632-1(c)(4).  The rules regarding the automatic allocation of GST exemption will apply to transfers described in the preceding sentence unless the transferor affirmatively elects to have those rules not apply.  Notice 2011-66 § II.B.</w:t>
      </w:r>
    </w:p>
    <w:p w:rsidR="00800BE7" w:rsidRDefault="00800BE7">
      <w:pPr>
        <w:widowControl/>
        <w:ind w:left="2880" w:firstLine="720"/>
        <w:jc w:val="both"/>
      </w:pPr>
      <w:r>
        <w:t>A return reporting a direct skip, a taxable distribution, or a taxable termination (including any election required to be made on such return) that occurred after December 31, 2009 and before December 17, 2010 must be filed by September 19, 2011, including extensions.  A Schedule R attached to a Form 8939, however, is still due on or before November 15, 2011.  Notice 2011-66 § II.C.</w:t>
      </w:r>
    </w:p>
    <w:p w:rsidR="00800BE7" w:rsidRDefault="00800BE7">
      <w:pPr>
        <w:widowControl/>
        <w:ind w:left="2880" w:firstLine="720"/>
        <w:jc w:val="both"/>
      </w:pPr>
      <w:r>
        <w:t>The due date of a return or portion of a return relating to an indirect skip, or to a post-December 16, 2010 direct skip is not extended.  The due date for filing a gift tax return reporting a transfer after December 17, 2010 and before January 1, 2011, reporting no GST transfer was April 18, 2011, including extensions.  Similarly, the due date for filing a gift tax return to elect to treat a trust as a GST trust or to allocate GST exemp</w:t>
      </w:r>
      <w:r>
        <w:softHyphen/>
        <w:t xml:space="preserve">tion to a taxable termination or taxable distribution in 2010, </w:t>
      </w:r>
      <w:r>
        <w:lastRenderedPageBreak/>
        <w:t>was April 18, 2011, including extensions. Notice 2011-66 § II.C.</w:t>
      </w:r>
    </w:p>
    <w:p w:rsidR="00800BE7" w:rsidRDefault="00800BE7">
      <w:pPr>
        <w:widowControl/>
        <w:ind w:left="2880" w:firstLine="720"/>
        <w:jc w:val="both"/>
      </w:pPr>
      <w:r>
        <w:t>A donor who timely filed a gift tax return for the taxable year ending December 31, 2010, but failed to allocate GST exemption to a transfer occurring in that year, however, may be eligible for Section 9100 relief.  Notice 2011-66 § II.C.</w:t>
      </w:r>
    </w:p>
    <w:p w:rsidR="00800BE7" w:rsidRDefault="00800BE7">
      <w:pPr>
        <w:widowControl/>
        <w:jc w:val="both"/>
        <w:rPr>
          <w:b/>
          <w:bCs/>
        </w:rPr>
      </w:pPr>
    </w:p>
    <w:p w:rsidR="00800BE7" w:rsidRDefault="00800BE7">
      <w:pPr>
        <w:widowControl/>
        <w:jc w:val="both"/>
        <w:rPr>
          <w:b/>
          <w:bCs/>
        </w:rPr>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rPr>
          <w:b/>
          <w:bCs/>
        </w:rPr>
        <w:lastRenderedPageBreak/>
        <w:t>Transfer Certificates.</w:t>
      </w:r>
      <w:r>
        <w:t xml:space="preserve">  A transfer agent who holds property registered in the name of a nonresident alien dece</w:t>
      </w:r>
      <w:r>
        <w:softHyphen/>
        <w:t>dent can usually avoid application of the ten-year estate tax lien under Section 6324(a)(1), by obtaining a transfer certificate from the IRS certifying that the estate has no estate tax liability.  Treas. Reg. § 20.6325-1(a).  The notice states that no transfer certificate is required, and the IRS will not issue transfer certificates, with respect to the property of a nonresident decedent who is not a citizen of the United States, who died in 2010, and whose executor makes the Section 1022 Election.  Notice 2011-66 § III.</w:t>
      </w:r>
    </w:p>
    <w:p w:rsidR="00800BE7" w:rsidRDefault="00800BE7">
      <w:pPr>
        <w:widowControl/>
        <w:jc w:val="both"/>
      </w:pPr>
    </w:p>
    <w:p w:rsidR="00800BE7" w:rsidRDefault="00800BE7">
      <w:pPr>
        <w:widowControl/>
        <w:ind w:left="2880" w:firstLine="720"/>
        <w:jc w:val="both"/>
      </w:pPr>
      <w:r>
        <w:rPr>
          <w:b/>
          <w:bCs/>
        </w:rPr>
        <w:t>Section 645 Elections.</w:t>
      </w:r>
      <w:r>
        <w:t xml:space="preserve">  The Section 645 election to treat a qualified revocable trust as part of a decedent’s estate, rather than as a separate entity, applies from the date of death until the “applicable date,” which is defined as the date two years after the date of death, if no estate tax return is required to be filed.  The IRS explained that an estate as to which a Section 1022 Election is filed will also have an applicable date that is two years after the date of the decedent’s death.  Notice 2011-66 § IV.</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2013.  Credit for Tax on Prior Transfers</w:t>
      </w:r>
      <w:r>
        <w:rPr>
          <w:b/>
          <w:bCs/>
        </w:rPr>
        <w:fldChar w:fldCharType="begin"/>
      </w:r>
      <w:r w:rsidR="00800BE7">
        <w:rPr>
          <w:b/>
          <w:bCs/>
        </w:rPr>
        <w:instrText>tc \l2 "Field result goes here</w:instrText>
      </w:r>
      <w:r w:rsidR="00800BE7">
        <w:rPr>
          <w:b/>
          <w:bCs/>
        </w:rPr>
        <w:tab/>
        <w:instrText>Code § 2013.  Credit for Tax on Prior Transfers</w:instrText>
      </w:r>
      <w:r>
        <w:rPr>
          <w:b/>
          <w:bCs/>
        </w:rP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Application of the First Limitation (Taxes Imposed on the First Estate) Examined and Applied to Reduce Credit for Tax on Prior Transfers. </w:t>
      </w:r>
      <w:r w:rsidR="00800BE7">
        <w:rPr>
          <w:b/>
          <w:bCs/>
          <w:i/>
          <w:iCs/>
        </w:rPr>
        <w:t>Estate of Le Caer v. Comm’r</w:t>
      </w:r>
      <w:r w:rsidR="00800BE7">
        <w:rPr>
          <w:b/>
          <w:bCs/>
        </w:rPr>
        <w:t>, 135 T.C. 288 (Sept. 7, 2010)</w:t>
      </w:r>
      <w:r>
        <w:fldChar w:fldCharType="begin"/>
      </w:r>
      <w:r w:rsidR="00800BE7">
        <w:instrText>tc \l3 "</w:instrText>
      </w:r>
      <w:r w:rsidR="00800BE7">
        <w:rPr>
          <w:b/>
          <w:bCs/>
        </w:rPr>
        <w:instrText>Field result goes here</w:instrText>
      </w:r>
      <w:r w:rsidR="00800BE7">
        <w:rPr>
          <w:b/>
          <w:bCs/>
        </w:rPr>
        <w:tab/>
        <w:instrText xml:space="preserve">Application of the First Limitation (Taxes Imposed on the First Estate) Examined and Applied to Reduce Credit for Tax on Prior Transfers. </w:instrText>
      </w:r>
      <w:r w:rsidR="00800BE7">
        <w:rPr>
          <w:b/>
          <w:bCs/>
          <w:i/>
          <w:iCs/>
        </w:rPr>
        <w:instrText>Estate of Le Caer v. Comm’r</w:instrText>
      </w:r>
      <w:r w:rsidR="00800BE7">
        <w:rPr>
          <w:b/>
          <w:bCs/>
        </w:rPr>
        <w:instrText>, 135 T.C. 288 (Sept. 7, 2010)</w:instrText>
      </w:r>
      <w:r>
        <w:fldChar w:fldCharType="end"/>
      </w:r>
    </w:p>
    <w:p w:rsidR="00800BE7" w:rsidRDefault="00800BE7">
      <w:pPr>
        <w:keepNext/>
        <w:keepLines/>
        <w:widowControl/>
        <w:jc w:val="both"/>
      </w:pPr>
    </w:p>
    <w:p w:rsidR="00800BE7" w:rsidRDefault="00800BE7">
      <w:pPr>
        <w:keepLines/>
        <w:widowControl/>
        <w:ind w:left="2160"/>
        <w:jc w:val="both"/>
      </w:pPr>
      <w:r>
        <w:t>Julian</w:t>
      </w:r>
      <w:r>
        <w:rPr>
          <w:rStyle w:val="FootnoteReference"/>
          <w:vertAlign w:val="superscript"/>
        </w:rPr>
        <w:footnoteReference w:id="2"/>
      </w:r>
      <w:r>
        <w:t xml:space="preserve"> died in January 2004 and his wife, Marie, died three months later. The couple had created an </w:t>
      </w:r>
      <w:r>
        <w:rPr>
          <w:i/>
          <w:iCs/>
        </w:rPr>
        <w:t xml:space="preserve">inter vivos </w:t>
      </w:r>
      <w:r>
        <w:t>trust several years earlier, and directed that at the death of the first spouse, the trust would be divided into four shares.  Both estates filed their tax returns and paid the estate taxes.  Julian's estate made a QTIP election for one of the trust shares and three years later, made an additional protective QTIP election.  Marie received a life estate in the remaining portion of that share, but the portion purposefully did not qualify for the marital deduction and Lucien's estate paid federal and Nevada estate taxes.  Marie's estate claimed a credit under Section 2013 for estate taxes paid on transfers by Julian's estate.  The IRS assessed deficiencies with respect to both estates, arguing that the protective QTIP election was invalid and that the credit under Section 2013 should be less than that claimed by Marie’s estate.</w:t>
      </w:r>
    </w:p>
    <w:p w:rsidR="00800BE7" w:rsidRDefault="00800BE7">
      <w:pPr>
        <w:keepLines/>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 Court (Judge Marvel) held that the amount of the Section 2013 tax on prior transfers credit for Marie’s estate was allowable at a reduced amount, and not for the entire amount of federal and state estate taxes paid by Julian’s estate.  The court held that Marie’s estate failed to apply correctly the limitations found in Sections 2013(b) and (c) in calculating the credit.  The court held that, in calculating the amount of Julian’s taxable estate for purposes of Section 2013(b) (the limitation on the credit to the tax imposed in the first estate), the taxable estate is not reduced by the applicable exclusion amount.  Also, the court held that (a) Marie’s estate could not receive a credit for state taxes paid by Julian’s estate because Section 2013(b) only allows a credit for federal estate tax paid on the first estate; (b) the constitutional challenges and claims of double taxation were invalid; (c) Marie’s estate failed to substantiate the claimed deduction for taxes paid by Julian’s estate; (d) Marie’s estate failed to prove that its value was overstated on the estate tax return; and (e) the protective QTIP election was invalid because it was filed three years after the filing of the estate tax return and was not filed on the appropriate estate tax return.</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2011 Award for Dumb Cause of Action.  No Credit for Tax on Prior Transfers Allowed an Estate That Owes No Tax.  </w:t>
      </w:r>
      <w:r w:rsidR="00800BE7">
        <w:rPr>
          <w:b/>
          <w:bCs/>
          <w:i/>
          <w:iCs/>
        </w:rPr>
        <w:t>Miglio v. Treasury Department</w:t>
      </w:r>
      <w:r w:rsidR="00800BE7">
        <w:rPr>
          <w:b/>
          <w:bCs/>
        </w:rPr>
        <w:t>, 2011 WL 3348069, 108 A.F.T.R.2d 2011</w:t>
      </w:r>
      <w:r w:rsidR="00800BE7">
        <w:rPr>
          <w:b/>
          <w:bCs/>
        </w:rPr>
        <w:noBreakHyphen/>
        <w:t>5537 (N.D. Ill. Aug. 2, 2011) (slip copy)</w:t>
      </w:r>
      <w:r>
        <w:fldChar w:fldCharType="begin"/>
      </w:r>
      <w:r w:rsidR="00800BE7">
        <w:instrText>tc \l3 "</w:instrText>
      </w:r>
      <w:r w:rsidR="00800BE7">
        <w:rPr>
          <w:b/>
          <w:bCs/>
        </w:rPr>
        <w:instrText>Field result goes here</w:instrText>
      </w:r>
      <w:r w:rsidR="00800BE7">
        <w:rPr>
          <w:b/>
          <w:bCs/>
        </w:rPr>
        <w:tab/>
        <w:instrText xml:space="preserve">2011 Award for Dumb Cause of Action.  No Credit for Tax on Prior Transfers Allowed an Estate That Owes No Tax.  </w:instrText>
      </w:r>
      <w:r w:rsidR="00800BE7">
        <w:rPr>
          <w:b/>
          <w:bCs/>
          <w:i/>
          <w:iCs/>
        </w:rPr>
        <w:instrText>Miglio v. Treasury Department</w:instrText>
      </w:r>
      <w:r w:rsidR="00800BE7">
        <w:rPr>
          <w:b/>
          <w:bCs/>
        </w:rPr>
        <w:instrText>, 2011 WL 3348069, 108 A.F.T.R.2d 2011</w:instrText>
      </w:r>
      <w:r w:rsidR="00800BE7">
        <w:rPr>
          <w:b/>
          <w:bCs/>
        </w:rPr>
        <w:noBreakHyphen/>
        <w:instrText>5537 (N.D. Ill. Aug. 2, 2011) (slip copy)</w:instrText>
      </w:r>
      <w:r>
        <w:fldChar w:fldCharType="end"/>
      </w:r>
    </w:p>
    <w:p w:rsidR="00800BE7" w:rsidRDefault="00800BE7">
      <w:pPr>
        <w:keepNext/>
        <w:keepLines/>
        <w:widowControl/>
        <w:jc w:val="both"/>
      </w:pPr>
    </w:p>
    <w:p w:rsidR="00800BE7" w:rsidRDefault="00800BE7">
      <w:pPr>
        <w:keepLines/>
        <w:widowControl/>
        <w:ind w:left="2160"/>
        <w:jc w:val="both"/>
      </w:pPr>
      <w:r>
        <w:t>Jennie Miglio was one of seven sisters.  Each sister left her estate to the surviving sisters, with Jennie as the last to die.  Two of the sisters, Antoinette and Frances, died within ten years of Jennie.  Both Antoinette's and Frances' estates paid federal estate taxes.   Jennie's estate paid no federal estate tax, partly because of charitable bequests.  The executor of all three estates sought a refund of the estate taxes paid by Antoinette’s and Frances’ estates, based on the application of the credit for tax on prior transfers under Section 2013.</w:t>
      </w:r>
    </w:p>
    <w:p w:rsidR="00800BE7" w:rsidRDefault="00800BE7">
      <w:pPr>
        <w:keepLines/>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 xml:space="preserve">The District Court (Judge Aspen) granted the IRS a motion to dismiss, finding that  Jennie’s estate was not eligible for a refund based on the credit for tax on prior transfers, because the estate owed no estate tax and the credit is not a refundable credit.  The court also held that a claim for refund on behalf of Frances' estate based on its failure to have earlier applied the credit for the tax on prior transfers with respect to the assets received from Antoinette’s estate, was barred by the statute of limitations, because it was not filed within three years from the time that the estate tax return was filed or two years from the time that the estate tax was paid.  Code § 6511(a). The executor argued that it was Jennie’s estate that was claiming the refund with respect to Frances’ estate, but the court held that any other party claiming on behalf of Frances’ estate was subject to the same limitations rules. </w:t>
      </w:r>
    </w:p>
    <w:p w:rsidR="00800BE7" w:rsidRDefault="00800BE7">
      <w:pPr>
        <w:widowControl/>
        <w:jc w:val="both"/>
      </w:pP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2031, 2032, 2032A and 7520.  Valuation</w:t>
      </w:r>
      <w:r>
        <w:fldChar w:fldCharType="begin"/>
      </w:r>
      <w:r w:rsidR="00800BE7">
        <w:instrText>tc \l2 "</w:instrText>
      </w:r>
      <w:r w:rsidR="00800BE7">
        <w:rPr>
          <w:b/>
          <w:bCs/>
        </w:rPr>
        <w:instrText>Field result goes here</w:instrText>
      </w:r>
      <w:r w:rsidR="00800BE7">
        <w:rPr>
          <w:b/>
          <w:bCs/>
        </w:rPr>
        <w:tab/>
        <w:instrText>Code §§ 2031, 2032, 2032A and 7520.  Valuation</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Fifth Circuit Upholds Jury Verdict Valuing Real Property Based on Subsequent Contract, Rezoning and Sale.  </w:t>
      </w:r>
      <w:r w:rsidR="00800BE7">
        <w:rPr>
          <w:b/>
          <w:bCs/>
          <w:i/>
          <w:iCs/>
        </w:rPr>
        <w:t>Estate of Levy v. United States</w:t>
      </w:r>
      <w:r w:rsidR="00800BE7">
        <w:rPr>
          <w:b/>
          <w:bCs/>
        </w:rPr>
        <w:t>, 402 Fed.Appx. 979 (5</w:t>
      </w:r>
      <w:r w:rsidR="00800BE7">
        <w:rPr>
          <w:b/>
          <w:bCs/>
          <w:vertAlign w:val="superscript"/>
        </w:rPr>
        <w:t>th</w:t>
      </w:r>
      <w:r w:rsidR="00800BE7">
        <w:rPr>
          <w:b/>
          <w:bCs/>
        </w:rPr>
        <w:t xml:space="preserve"> Cir. Dec. 1, 2010) (slip copy), </w:t>
      </w:r>
      <w:r w:rsidR="00800BE7">
        <w:rPr>
          <w:b/>
          <w:bCs/>
          <w:i/>
          <w:iCs/>
        </w:rPr>
        <w:t>aff’g</w:t>
      </w:r>
      <w:r w:rsidR="00800BE7">
        <w:rPr>
          <w:b/>
          <w:bCs/>
        </w:rPr>
        <w:t xml:space="preserve"> 2008 WL 5504695 (W.D.Tex. 2008), </w:t>
      </w:r>
      <w:r w:rsidR="00800BE7">
        <w:rPr>
          <w:b/>
          <w:bCs/>
          <w:i/>
          <w:iCs/>
        </w:rPr>
        <w:t>cert. denied, 2011 WL 1481312, 79 USLW 3610 (May 23, 2011)</w:t>
      </w:r>
      <w:r>
        <w:rPr>
          <w:b/>
          <w:bCs/>
        </w:rPr>
        <w:fldChar w:fldCharType="begin"/>
      </w:r>
      <w:r w:rsidR="00800BE7">
        <w:rPr>
          <w:b/>
          <w:bCs/>
        </w:rPr>
        <w:instrText>tc \l3 "Field result goes here</w:instrText>
      </w:r>
      <w:r w:rsidR="00800BE7">
        <w:rPr>
          <w:b/>
          <w:bCs/>
        </w:rPr>
        <w:tab/>
        <w:instrText xml:space="preserve">Fifth Circuit Upholds Jury Verdict Valuing Real Property Based on Subsequent Contract, Rezoning and Sale.  </w:instrText>
      </w:r>
      <w:r w:rsidR="00800BE7">
        <w:rPr>
          <w:b/>
          <w:bCs/>
          <w:i/>
          <w:iCs/>
        </w:rPr>
        <w:instrText>Estate of Levy v. United States</w:instrText>
      </w:r>
      <w:r w:rsidR="00800BE7">
        <w:rPr>
          <w:b/>
          <w:bCs/>
        </w:rPr>
        <w:instrText>, 402 Fed.Appx. 979 (5</w:instrText>
      </w:r>
      <w:r w:rsidR="00800BE7">
        <w:rPr>
          <w:b/>
          <w:bCs/>
          <w:vertAlign w:val="superscript"/>
        </w:rPr>
        <w:instrText>th</w:instrText>
      </w:r>
      <w:r w:rsidR="00800BE7">
        <w:rPr>
          <w:b/>
          <w:bCs/>
        </w:rPr>
        <w:instrText xml:space="preserve"> Cir. Dec. 1, 2010) (slip copy), </w:instrText>
      </w:r>
      <w:r w:rsidR="00800BE7">
        <w:rPr>
          <w:b/>
          <w:bCs/>
          <w:i/>
          <w:iCs/>
        </w:rPr>
        <w:instrText>aff’g</w:instrText>
      </w:r>
      <w:r w:rsidR="00800BE7">
        <w:rPr>
          <w:b/>
          <w:bCs/>
        </w:rPr>
        <w:instrText xml:space="preserve"> 2008 WL 5504695 (W.D.Tex. 2008), </w:instrText>
      </w:r>
      <w:r w:rsidR="00800BE7">
        <w:rPr>
          <w:b/>
          <w:bCs/>
          <w:i/>
          <w:iCs/>
        </w:rPr>
        <w:instrText>cert. denied, 2011 WL 1481312, 79 USLW 3610 (May 23,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The decedent’s estate sought a $3.2 million estate tax refund claiming that certain real property was overvalued by the IRS on audit.  A jury found that the property was worth $25 million – the price that the IRS had proposed.  The jury primarily appeared to be impressed by the fact that the estate listed the property, and eventually sold the property, for $25 million, and that it was immediately resold for $26.5 million. Also, the estate's expert testified that the market in the locality (Plano, Texas) remained relatively flat during the period between the decedent’s death and the sale of the property. The estate appealed.</w:t>
      </w:r>
    </w:p>
    <w:p w:rsidR="00800BE7" w:rsidRDefault="00800BE7">
      <w:pPr>
        <w:keepLines/>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Fifth Circuit, in a per curiam opinion, held for the govern</w:t>
      </w:r>
      <w:r>
        <w:softHyphen/>
        <w:t>ment.  The estate argued that the trial court should not have admitted evidence of ongoing negotiations over the sale of the property, because offers to buy and sell are not probative of fair market value.  The Fifth Circuit noted that offers from unidentified third parties are hearsay, but that offers from “identified, sophisticated developers who could be reasonably expected to have investigated the value of the land before making a proposal” are relevant and admissible, and the “developers could have been called to testify had the Estate desired to test their knowledge under cross</w:t>
      </w:r>
      <w:r>
        <w:noBreakHyphen/>
        <w:t>examina</w:t>
      </w:r>
      <w:r>
        <w:softHyphen/>
        <w:t>tion.”  Moreover, the court stated, offers to buy are admissible to establish fair market value when they are part of ongoing negotiations resulting in a contract with substantially the same terms.  The estate also argued that evidence of the final sales price was inadmissible, because the sale was both too remote in time and contingent on rezoning.  The Fifth Circuit disagreed, noting that the sale was under a contract signed two years after death, and that this was within a reasonable period of time.  The court stated that a contract to sell the actual property is relevant and admissible, even when a contract to sell comparable property might not be.  The estate also argued that the final sales price should be inadmissible because the sale was contingent on rezon</w:t>
      </w:r>
      <w:r>
        <w:softHyphen/>
        <w:t>ing, and the chances of obtaining approval for rezoning was remote on the date of death.  The court noted that the decedent had failed in his prior attempt to have the property rezoned, but that his attempted rezoning was both aggressive and unrealistic, whereas the locality’s compre</w:t>
      </w:r>
      <w:r>
        <w:softHyphen/>
        <w:t xml:space="preserve">hensive plan actually called for the property to be rezoned. The district court also used a valuation expert, Jack P. Friedman, in </w:t>
      </w:r>
      <w:r>
        <w:lastRenderedPageBreak/>
        <w:t>establishing the value of the property.  The estate argued that this expert’s testimony used an “unrecognized appraisal method” and because his assumption the property would be rezoned improperly relied on hindsight.  The court held that “the admissibility of offers under the circumstances of this case” made acceptable the appraiser’s refer</w:t>
      </w:r>
      <w:r>
        <w:softHyphen/>
        <w:t>ences to such offers with appropriate contingencies.</w:t>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Tax Court Values Limited Partnership Interest in Timberland Partnership, With Focus on Relative Use of Net Asset and Discounted Cash Flow Values.  </w:t>
      </w:r>
      <w:r w:rsidR="00800BE7">
        <w:rPr>
          <w:b/>
          <w:bCs/>
          <w:i/>
          <w:iCs/>
        </w:rPr>
        <w:t>Estate of Giustina v. Comm’r</w:t>
      </w:r>
      <w:r w:rsidR="00800BE7">
        <w:rPr>
          <w:b/>
          <w:bCs/>
        </w:rPr>
        <w:t>, T.C. Memo. 2011</w:t>
      </w:r>
      <w:r w:rsidR="00800BE7">
        <w:rPr>
          <w:b/>
          <w:bCs/>
        </w:rPr>
        <w:noBreakHyphen/>
        <w:t>141 (June 22, 2011)</w:t>
      </w:r>
      <w:r>
        <w:fldChar w:fldCharType="begin"/>
      </w:r>
      <w:r w:rsidR="00800BE7">
        <w:instrText>tc \l3 "</w:instrText>
      </w:r>
      <w:r w:rsidR="00800BE7">
        <w:rPr>
          <w:b/>
          <w:bCs/>
        </w:rPr>
        <w:instrText>Field result goes here</w:instrText>
      </w:r>
      <w:r w:rsidR="00800BE7">
        <w:rPr>
          <w:b/>
          <w:bCs/>
        </w:rPr>
        <w:tab/>
        <w:instrText xml:space="preserve">Tax Court Values Limited Partnership Interest in Timberland Partnership, With Focus on Relative Use of Net Asset and Discounted Cash Flow Values.  </w:instrText>
      </w:r>
      <w:r w:rsidR="00800BE7">
        <w:rPr>
          <w:b/>
          <w:bCs/>
          <w:i/>
          <w:iCs/>
        </w:rPr>
        <w:instrText>Estate of Giustina v. Comm’r</w:instrText>
      </w:r>
      <w:r w:rsidR="00800BE7">
        <w:rPr>
          <w:b/>
          <w:bCs/>
        </w:rPr>
        <w:instrText>, T.C. Memo. 2011</w:instrText>
      </w:r>
      <w:r w:rsidR="00800BE7">
        <w:rPr>
          <w:b/>
          <w:bCs/>
        </w:rPr>
        <w:noBreakHyphen/>
        <w:instrText>141 (June 22, 2011)</w:instrText>
      </w:r>
      <w:r>
        <w:fldChar w:fldCharType="end"/>
      </w:r>
    </w:p>
    <w:p w:rsidR="00800BE7" w:rsidRDefault="00800BE7">
      <w:pPr>
        <w:widowControl/>
        <w:jc w:val="both"/>
      </w:pPr>
    </w:p>
    <w:p w:rsidR="00800BE7" w:rsidRDefault="00800BE7">
      <w:pPr>
        <w:widowControl/>
        <w:ind w:left="2160"/>
        <w:jc w:val="both"/>
      </w:pPr>
      <w:r>
        <w:t>The decedent, Natale Giustina, owned timberland in Oregon through Giustina Bros. Lumber &amp; Plywood.  Giustina Land &amp; Timber Co. Limited Partnership (the “LP”), which held a 51.875% interest in three other entities that owned a substantial amount of Oregon timberland.  The decedent died owning a 41.128% limited partnership interest in the LP.  The LP’s agreement gives the general partners full control over the business of LP, including the power to sell the partnership’s assets and to make pro rata distributions.  The partnership agreement allows a limited partner interest to be trans</w:t>
      </w:r>
      <w:r>
        <w:softHyphen/>
        <w:t>ferred to another limited partner, a trust for the benefit of a limited partner, or any other person approved by the general partners.  A limited partner may not withdraw from the partnership unless all of the limited partner’s interests have been transferred.  A buy</w:t>
      </w:r>
      <w:r>
        <w:noBreakHyphen/>
        <w:t>sell agreement bars a limited partner from transferring a partnership interest other than a transfer to a member of the transferring partner’s family group, or after offering the other limited partners a right of first refusal.  The decedent’s executor valued the estate’s interest in the LP at $12,678,117.  The IRS issued a deficiency, valuing the interest at $35,710,000.</w:t>
      </w:r>
    </w:p>
    <w:p w:rsidR="00800BE7" w:rsidRDefault="00800BE7">
      <w:pPr>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 Court (Judge Morrison), valued the decedent’s partnership interest at approximately $24 million.  The court stated that the partnership interest should be valued under the cashflow method (how much cash the partnership would be expected to earn if it continued its forestry operations, including growing trees, cutting them down, and selling the logs), and the net asset method (the value of the partnership’s assets if they were sold).  The IRS expert estimated that the partnership’s annual cashflow would be $9,979,969 in the first year after the decedent’s death, and that the total future cashflow, discounted to present value, would be $65,760,00</w:t>
      </w:r>
      <w:r>
        <w:softHyphen/>
        <w:t xml:space="preserve">0.  The estate’s expert estimated the first year cash flow at $4,560,000 and the discounted total future cashflow to be $33,800,000.  The court found that the IRS expert’s cashflow estimates “not persuasive,” because of an internal inconsistency between that expert’s cashflow </w:t>
      </w:r>
      <w:r>
        <w:lastRenderedPageBreak/>
        <w:t xml:space="preserve">estimates and his calculation of the effect of lack of control on the value of the decedent’s LP interest, because he “unrealistically assumed” that the partnership’s operating expenses would remain fixed, even though he projected that its revenues would increase by three percent per year, and because the IRS expert based his calculations on the cashflow results of the most recent year, whereas the estate’s expert based his cashflow results on a five-year period, which reduces the effect of a temporary variation in cashflow.  On the other hand, the court stated that the estate’s expert incorrectly reduced each year’s predicted cashflow by 25% to account for the income taxes that would be owed, but used a discount rate used for pretax returns.  See </w:t>
      </w:r>
      <w:r>
        <w:rPr>
          <w:i/>
          <w:iCs/>
        </w:rPr>
        <w:t>Gross v. Comm’r</w:t>
      </w:r>
      <w:r>
        <w:t>, T.C. Memo. 1999</w:t>
      </w:r>
      <w:r>
        <w:noBreakHyphen/>
        <w:t xml:space="preserve">254, </w:t>
      </w:r>
      <w:r>
        <w:rPr>
          <w:i/>
          <w:iCs/>
        </w:rPr>
        <w:t>aff’d</w:t>
      </w:r>
      <w:r>
        <w:t xml:space="preserve"> 272 F.3d 333 (6th Cir. 2001).  Thus, the court rejected the income tax discount.  The court also held that the estate’s expert used a discount rate of 18%, which was too high, and reduced it to 16.25%, because that appraisal applied a 3.5 percent partnership specific risk premium to reflect the fact that all of the timberland was in Oregon.  The court stated that the lack of geographic diversity can be offset if the purchaser holds other assets reflecting other geographic focus.  The court also disagreed with the estate’s appraiser respecting a proposed 35% discount for lack of marketability of the 41.128% limited partner</w:t>
      </w:r>
      <w:r>
        <w:softHyphen/>
        <w:t>ship interest.  The court allowed only a 25% discount for lack of marketability, finding that the discounts from restricted stock studies were more applicable to this partnership than the discounts from the pre-IPO studies.  The court concluded that the cashflow method valuation should be weighted 75% and the net asset method 25% in valuing the partnership interests, because the value of the timberland was so much greater than the discounted value of the cashflow.  The holder of a minority interest cannot compel liquidation, but the court stated that there were various ways in which a voting block of limited partners with a two</w:t>
      </w:r>
      <w:r>
        <w:noBreakHyphen/>
        <w:t>thirds interest in the partnership could cause the sale of the underlying assets, (such as by replacing a majority of the general partners), and the substantial disparity between the net asset value and the discounted cashflow value suggest that there was a 25-percent probability that a buyer would persuade other limited partners to compel liquidation The court rejected an additional lack-of-control discount, finding that it was already reflected in the 75/25%age weighting of the cashflow valuation.  The court also rejected a separate lack-of-marketability discount, because it was already included in the stipulated net asset value for the land.</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BC7053">
      <w:pPr>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Tax Court Values Interest in Media Business Using Discounted Cash Flow with Appropriate Discounts.  </w:t>
      </w:r>
      <w:r w:rsidR="00800BE7">
        <w:rPr>
          <w:b/>
          <w:bCs/>
          <w:i/>
          <w:iCs/>
        </w:rPr>
        <w:t>Estate of Gallagher v. Comm’r</w:t>
      </w:r>
      <w:r w:rsidR="00800BE7">
        <w:rPr>
          <w:b/>
          <w:bCs/>
        </w:rPr>
        <w:t>, T.C. Memo. 2011-148 (June 28, 2011)</w:t>
      </w:r>
      <w:r>
        <w:rPr>
          <w:b/>
          <w:bCs/>
        </w:rPr>
        <w:fldChar w:fldCharType="begin"/>
      </w:r>
      <w:r w:rsidR="00800BE7">
        <w:rPr>
          <w:b/>
          <w:bCs/>
        </w:rPr>
        <w:instrText>tc \l3 "Field result goes here</w:instrText>
      </w:r>
      <w:r w:rsidR="00800BE7">
        <w:rPr>
          <w:b/>
          <w:bCs/>
        </w:rPr>
        <w:tab/>
        <w:instrText xml:space="preserve">Tax Court Values Interest in Media Business Using Discounted Cash Flow with Appropriate Discounts.  </w:instrText>
      </w:r>
      <w:r w:rsidR="00800BE7">
        <w:rPr>
          <w:b/>
          <w:bCs/>
          <w:i/>
          <w:iCs/>
        </w:rPr>
        <w:instrText>Estate of Gallagher v. Comm’r</w:instrText>
      </w:r>
      <w:r w:rsidR="00800BE7">
        <w:rPr>
          <w:b/>
          <w:bCs/>
        </w:rPr>
        <w:instrText>, T.C. Memo. 2011-148 (June 28, 2011)</w:instrText>
      </w:r>
      <w:r>
        <w:rPr>
          <w:b/>
          <w:bCs/>
        </w:rPr>
        <w:fldChar w:fldCharType="end"/>
      </w:r>
    </w:p>
    <w:p w:rsidR="00800BE7" w:rsidRDefault="00800BE7">
      <w:pPr>
        <w:widowControl/>
        <w:jc w:val="both"/>
      </w:pPr>
    </w:p>
    <w:p w:rsidR="00800BE7" w:rsidRDefault="00800BE7">
      <w:pPr>
        <w:widowControl/>
        <w:ind w:left="2160"/>
        <w:jc w:val="both"/>
      </w:pPr>
      <w:r>
        <w:t>The decedent, Louise Paxton Gallagher, owned 15% of Paxton Media Group LLC (PMG), which was founded in Paducah, Ky. in 1896 and owned 28 daily newspapers, 13 paid weekly publications, and some specialty publications on the date of the decedent’s death.  The decedent’s interest was the largest single interest in the company.  PMG had $169 million in revenue and $48.1 million in net income in the year of death.  The decedent’s estate valued the decedent’s interest at $34.9 million, based on an appraisal by the group’s president and chief executive officer.  The IRS valued the units at $49.5 million.  The estate appealed and then obtained an independent appraisal valuing the estate’s units at $26.6 million.</w:t>
      </w:r>
    </w:p>
    <w:p w:rsidR="00800BE7" w:rsidRDefault="00800BE7">
      <w:pPr>
        <w:widowControl/>
        <w:ind w:left="2160" w:firstLine="720"/>
        <w:jc w:val="both"/>
      </w:pPr>
      <w:r>
        <w:t>The Tax Court (Judge Halpern) valued the LLC interests at $32.6 million – less than the amount reported on the estate tax return, but more than the value asserted in litigation.  The court used the discounted cash flow method of valuation, which is often used for active businesses.  The court rejected use of the guideline company method, which compares a company to similar public companies, agreeing with the estate that there were no publicly-held corporations sufficiently similar to PMG to use the guideline company method.  The court rejected the taxpayer’s attempt to tax affect the value of the LLC interests (the entity was taxed as an S corporation) for income taxes that would be due on the cash flow.  The court noted that “the principal benefit enjoyed by S corporation share</w:t>
      </w:r>
      <w:r>
        <w:softHyphen/>
        <w:t xml:space="preserve">holders is the reduction in their total tax burden, a benefit that should be considered when valuing an S corporation.”  </w:t>
      </w:r>
      <w:r>
        <w:rPr>
          <w:i/>
          <w:iCs/>
        </w:rPr>
        <w:t>Gross v. Comm’r</w:t>
      </w:r>
      <w:r>
        <w:t>, T.C. Memo. 1999</w:t>
      </w:r>
      <w:r>
        <w:noBreakHyphen/>
        <w:t>254.  The court allowed a 23% minority discount and a 31% lack of marketability discount.</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Value of Marital Trust Assets Denied Offset for Value of Breach of Fiduciary Duty Claim Against Decedent.  </w:t>
      </w:r>
      <w:r w:rsidR="00800BE7">
        <w:rPr>
          <w:b/>
          <w:bCs/>
          <w:i/>
          <w:iCs/>
        </w:rPr>
        <w:t>Estate of Foster v. Comm’r</w:t>
      </w:r>
      <w:r w:rsidR="00800BE7">
        <w:rPr>
          <w:b/>
          <w:bCs/>
        </w:rPr>
        <w:t>, T.C. Memo. 2011</w:t>
      </w:r>
      <w:r w:rsidR="00800BE7">
        <w:rPr>
          <w:b/>
          <w:bCs/>
        </w:rPr>
        <w:noBreakHyphen/>
        <w:t>95 (April 28, 2011)</w:t>
      </w:r>
      <w:r>
        <w:fldChar w:fldCharType="begin"/>
      </w:r>
      <w:r w:rsidR="00800BE7">
        <w:instrText>tc \l3 "</w:instrText>
      </w:r>
      <w:r w:rsidR="00800BE7">
        <w:rPr>
          <w:b/>
          <w:bCs/>
        </w:rPr>
        <w:instrText>Field result goes here</w:instrText>
      </w:r>
      <w:r w:rsidR="00800BE7">
        <w:rPr>
          <w:b/>
          <w:bCs/>
        </w:rPr>
        <w:tab/>
        <w:instrText xml:space="preserve">Value of Marital Trust Assets Denied Offset for Value of Breach of Fiduciary Duty Claim Against Decedent.  </w:instrText>
      </w:r>
      <w:r w:rsidR="00800BE7">
        <w:rPr>
          <w:b/>
          <w:bCs/>
          <w:i/>
          <w:iCs/>
        </w:rPr>
        <w:instrText>Estate of Foster v. Comm’r</w:instrText>
      </w:r>
      <w:r w:rsidR="00800BE7">
        <w:rPr>
          <w:b/>
          <w:bCs/>
        </w:rPr>
        <w:instrText>, T.C. Memo. 2011</w:instrText>
      </w:r>
      <w:r w:rsidR="00800BE7">
        <w:rPr>
          <w:b/>
          <w:bCs/>
        </w:rPr>
        <w:noBreakHyphen/>
        <w:instrText>95 (April 28,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The estate of the decedent, Ellen Foster, was involved in complex litigation stemming from a buy-sell agreement entered into by her late husband and his company, Foster &amp; Gallagher, Inc. (F&amp;G), a successful mail</w:t>
      </w:r>
      <w:r>
        <w:noBreakHyphen/>
        <w:t>order horticulture business that relied heavily on a sweepstakes program as part of its direct mail advertising.  The agreement required F&amp;G to buy the stock of the Foster family group upon the death of the decedent and her husband, and to maintain a $50 million life insurance policy to fund the purchase.  The agreement prevented the company from borrowing against or otherwise encum</w:t>
      </w:r>
      <w:r>
        <w:softHyphen/>
        <w:t>bering the policy.  In 1995, Mr. Foster sold most of his shares to the company’s ESOP.  The company borrowed $70 million (the ESOP loans) from four institutional lenders (the ESOP trans</w:t>
      </w:r>
      <w:r>
        <w:softHyphen/>
        <w:t>action lenders) and lent these funds to the ESOP.  The ESOP used the $70 million to buy F&amp;G shares from Mr. Foster.  Mr. Foster died in 1996, leaving his estate to three marital trusts, of which the decedent was the sole income beneficiary.  The decedent could withdraw the principal of one trust (Marital Trust # 3) at any time.  Northern Trust Company and decedent were the co-trustees of the Marital Trusts and together could invade principal for decedent's benefit.  In 1998, F&amp;G began experi</w:t>
      </w:r>
      <w:r>
        <w:softHyphen/>
        <w:t>encing financial trouble on account of negative publicity surrounding sweepstakes advertising strategies such as the one F&amp;G employed.  F&amp;G's revenues and earnings steadily declined, causing it to be in violation of the financial covenants of the ESOP loans.  The ESOP transaction lenders (which included Northern Trust) asked to restruc</w:t>
      </w:r>
      <w:r>
        <w:softHyphen/>
        <w:t>ture the loans to gain a security interest in F&amp;G's assets, and Northern Trust, as co</w:t>
      </w:r>
      <w:r>
        <w:noBreakHyphen/>
        <w:t>trustee of the Marital Trusts, waived the buy-sell agree</w:t>
      </w:r>
      <w:r>
        <w:softHyphen/>
        <w:t>ment’s restrictions, allowing F&amp;G to borrow against the cash surrender value of the life insurance, and later allowing F&amp;G to assign the policy as collateral for the ESOP loans.  Pursuant to a demand from F&amp;G, the decedent borrowed $6.8 million from Northern Trust and lent it to F&amp;G (the Founder's Loan).  The decedent’s loan from Nor</w:t>
      </w:r>
      <w:r>
        <w:softHyphen/>
        <w:t xml:space="preserve">thern Trust was secured by over $12 million worth of assets that she withdrew from Marital Trust #3.  The loans caused the life insurance not to be self-funding.  The company filed for bankruptcy in 2001 and the insurance policy lapsed for nonpayment of premiums.  Before the company’s bankruptcy filing, the ESOP beneficiaries sued the ESOP trustee and Mr. Foster’s estate (and the decedent, as executrix of her husband’s estate) (the ESOP lawsuit), alleging breaches of fiduciary duty in connection with the ESOP transaction.  The court held for the decedent as executrix of her husband’s estate, because that estate was closed, and for both the decedent and the ESOP trustee, finding that there was no breach of fiduciary duty.  The decedent died during the appeal of that holding.  The decedent’s executors deducted the value of the claim against the marital trusts ($14,676,915), based on an appraisal.  The decedent’s executors also </w:t>
      </w:r>
      <w:r>
        <w:lastRenderedPageBreak/>
        <w:t>sued the decedent’s former attorneys for the decedent for legal malpractice and breach of fiduciary duty, and sued Northern Trust for breach of fiduciary duty and self-dealing.  The executors notified the IRS that there was an additional asset – the value of their claims against the former attorney and Northern Trust.  Thereafter, the case against the former attorney was settled for $850,000 and the case against Northern Trust was settled for $17 million.  The IRS then assessed a deficiency based on the inclusion in the gross estate of the value of the claims against the former attorney and Northern Trust, and denial of the deduction for the value of the claims against the decedent.</w:t>
      </w:r>
    </w:p>
    <w:p w:rsidR="00800BE7" w:rsidRDefault="00800BE7">
      <w:pPr>
        <w:widowControl/>
        <w:ind w:left="2160" w:firstLine="720"/>
        <w:jc w:val="both"/>
      </w:pPr>
      <w:r>
        <w:t>The Tax Court (Judge Cohen), held that in valuing the marital trusts for estate tax purposes, no deduction was allowed for the value of the claims against the trusts in connection with the suit by the ESOP beneficiaries.  The court noted that the property in the marital trusts is valued under the traditional rules of Section 2031, and that the litigation could not have affected a buyer’s rights in the marital trust assets, partially because the district court had already ruled in favor of the decedent before her death.  The estate could, therefore, have transferred the marital trust assets to a buyer free of the claim, because the ESOP beneficiaries had not filed a stay of judgment pending appeal.  The court also valued the claim by the decedent’s estate against the former attorney and Northern Trust  at $930,000, rejecting both the IRS claimed $5.1 million valuation and the estate’s claimed $33,000 valuation.  The court held that the estate could deduct its actual litigation expenses under Section 2053.</w:t>
      </w:r>
    </w:p>
    <w:p w:rsidR="00800BE7" w:rsidRDefault="00800BE7">
      <w:pPr>
        <w:widowControl/>
        <w:jc w:val="both"/>
      </w:pPr>
    </w:p>
    <w:p w:rsidR="00800BE7" w:rsidRDefault="00BC7053">
      <w:pPr>
        <w:keepNext/>
        <w:keepLines/>
        <w:widowControl/>
        <w:tabs>
          <w:tab w:val="left" w:pos="-1440"/>
        </w:tabs>
        <w:ind w:left="2160" w:hanging="720"/>
        <w:jc w:val="both"/>
        <w:rPr>
          <w:b/>
          <w:bCs/>
        </w:rPr>
      </w:pPr>
      <w:r>
        <w:rPr>
          <w:b/>
          <w:bCs/>
        </w:rPr>
        <w:fldChar w:fldCharType="begin"/>
      </w:r>
      <w:r w:rsidR="00800BE7">
        <w:rPr>
          <w:b/>
          <w:bCs/>
        </w:rPr>
        <w:instrText>LISTNUM Outline \l 3</w:instrText>
      </w:r>
      <w:r>
        <w:rPr>
          <w:b/>
          <w:bCs/>
        </w:rPr>
        <w:fldChar w:fldCharType="end"/>
      </w:r>
      <w:r w:rsidR="00800BE7">
        <w:rPr>
          <w:b/>
          <w:bCs/>
        </w:rPr>
        <w:tab/>
        <w:t xml:space="preserve">Tax Court Allows Discount for 95% Interest in Ranch and Values Other Estate Assets.  </w:t>
      </w:r>
      <w:r w:rsidR="00800BE7">
        <w:rPr>
          <w:b/>
          <w:bCs/>
          <w:i/>
          <w:iCs/>
        </w:rPr>
        <w:t>Estate of Mitchell v. Comm’r</w:t>
      </w:r>
      <w:r w:rsidR="00800BE7">
        <w:rPr>
          <w:b/>
          <w:bCs/>
        </w:rPr>
        <w:t>, T.C. Memo. 2011-94 (April 28, 2011)</w:t>
      </w:r>
      <w:r>
        <w:rPr>
          <w:b/>
          <w:bCs/>
        </w:rPr>
        <w:fldChar w:fldCharType="begin"/>
      </w:r>
      <w:r w:rsidR="00800BE7">
        <w:rPr>
          <w:b/>
          <w:bCs/>
        </w:rPr>
        <w:instrText>tc \l3 "Field result goes here</w:instrText>
      </w:r>
      <w:r w:rsidR="00800BE7">
        <w:rPr>
          <w:b/>
          <w:bCs/>
        </w:rPr>
        <w:tab/>
        <w:instrText xml:space="preserve">Tax Court Allows Discount for 95% Interest in Ranch and Values Other Estate Assets.  </w:instrText>
      </w:r>
      <w:r w:rsidR="00800BE7">
        <w:rPr>
          <w:b/>
          <w:bCs/>
          <w:i/>
          <w:iCs/>
        </w:rPr>
        <w:instrText>Estate of Mitchell v. Comm’r</w:instrText>
      </w:r>
      <w:r w:rsidR="00800BE7">
        <w:rPr>
          <w:b/>
          <w:bCs/>
        </w:rPr>
        <w:instrText>, T.C. Memo. 2011-94 (April 28,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James Mitchell, the decedent, was the son of a co</w:t>
      </w:r>
      <w:r>
        <w:noBreakHyphen/>
        <w:t>founder of American Airlines and an heiress to a successful Chicago meat</w:t>
      </w:r>
      <w:r>
        <w:noBreakHyphen/>
        <w:t xml:space="preserve"> packing family.  The decedent inherited real estate, including a ranch and beachfront property, and several valuable paintings by John Gamble, Frederic Remington, and Charles Marion Russell.  Six days before his death, the decedent gave a five percent interest in the beachfront property and the ranch to a trust for his sons.  The decedent’s estate included the remaining 95% interests. The beach</w:t>
      </w:r>
      <w:r>
        <w:softHyphen/>
        <w:t>front property was subject to a lease with options that extended for 20 years.  The ranch was an unencumbered fee simple interest.</w:t>
      </w:r>
    </w:p>
    <w:p w:rsidR="00800BE7" w:rsidRDefault="00800BE7">
      <w:pPr>
        <w:widowControl/>
        <w:ind w:left="2160" w:firstLine="720"/>
        <w:jc w:val="both"/>
      </w:pPr>
      <w:r>
        <w:t>The Tax Court (Judge Kroupa) valued the real property and the artwork, considering the relative merits of the appraisers and appraisals presented by the parties.  The IRS agreed to stipulate that a 19% discount should be allowed for the 95% interest in the beach</w:t>
      </w:r>
      <w:r>
        <w:softHyphen/>
      </w:r>
      <w:r>
        <w:lastRenderedPageBreak/>
        <w:t>front interest and a 32% discount for the five percent interest, and that a 35% discount should be allowed for the 95% interest in the ranch and a 40% discount for the five percent interest.</w:t>
      </w: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rPr>
          <w:b/>
          <w:bCs/>
        </w:rPr>
        <w:lastRenderedPageBreak/>
        <w:t xml:space="preserve">Note. </w:t>
      </w:r>
      <w:r>
        <w:t xml:space="preserve"> These discounts are quite significant, and practitioners should consider seriously the use of tenancy-in-common arrange</w:t>
      </w:r>
      <w:r>
        <w:softHyphen/>
        <w:t>ments for real estate, particularly where the client has not the finances or disposition to maintain a family limited partnership or limited liability company.  The right to partition and other management issues can be addressed in a tenancy-in-common agreement, to facilitate the co-ownership by the parties.</w:t>
      </w:r>
    </w:p>
    <w:p w:rsidR="00800BE7" w:rsidRDefault="00800BE7">
      <w:pPr>
        <w:widowControl/>
        <w:ind w:left="2160" w:firstLine="720"/>
        <w:jc w:val="both"/>
      </w:pPr>
      <w:r>
        <w:t>The IRS made the argument, which the court rejected, that with a large tenancy-in-common interest, the discount should reflect only the cost of buying out the other five percent interest at a premium.  The court found this an inappropriate valuation methodology.  IRS appraisers have stated at a valuation symposium that this approach may be applied in the typical 1%/99% family limited partnership, arguing that the discount for the 99% limited partnership interest should not exceed the cost of buying out the one percent general partner.  This analysis is arguably flawed, however, because with certain situations, the general partner will simply not want to sell, or will insist that they will sell only for an extraordinary premium.</w:t>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Treasury Finalizes Actuarial Valuation Regulations Reflecting 2000 Actuarial Data.  T.D. 9540, 76 Fed. Reg. 49570 (Aug. 10, 2011)</w:t>
      </w:r>
      <w:r>
        <w:fldChar w:fldCharType="begin"/>
      </w:r>
      <w:r w:rsidR="00800BE7">
        <w:instrText>tc \l3 "</w:instrText>
      </w:r>
      <w:r w:rsidR="00800BE7">
        <w:rPr>
          <w:b/>
          <w:bCs/>
        </w:rPr>
        <w:instrText>Field result goes here</w:instrText>
      </w:r>
      <w:r w:rsidR="00800BE7">
        <w:rPr>
          <w:b/>
          <w:bCs/>
        </w:rPr>
        <w:tab/>
        <w:instrText>Treasury Finalizes Actuarial Valuation Regulations Reflecting 2000 Actuarial Data.  T.D. 9540, 76 Fed. Reg. 49570 (Aug. 10, 2011)</w:instrText>
      </w:r>
      <w:r>
        <w:fldChar w:fldCharType="end"/>
      </w:r>
    </w:p>
    <w:p w:rsidR="00800BE7" w:rsidRDefault="00800BE7">
      <w:pPr>
        <w:widowControl/>
        <w:jc w:val="both"/>
      </w:pPr>
    </w:p>
    <w:p w:rsidR="00800BE7" w:rsidRDefault="00800BE7">
      <w:pPr>
        <w:widowControl/>
        <w:ind w:left="2160"/>
        <w:jc w:val="both"/>
      </w:pPr>
      <w:r>
        <w:t>The Treasury, as required by Code § 7520(c)(3), has finalized the temporary regulations updating its actuarial tables to reflect the new mortality data produced by the 2000 U.S. census.</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Increased Longevity.</w:t>
      </w:r>
      <w:r>
        <w:t xml:space="preserve"> </w:t>
      </w:r>
      <w:r w:rsidR="00BC7053">
        <w:fldChar w:fldCharType="begin"/>
      </w:r>
      <w:r>
        <w:instrText>tc \l4 "</w:instrText>
      </w:r>
      <w:r>
        <w:rPr>
          <w:b/>
          <w:bCs/>
        </w:rPr>
        <w:instrText>·</w:instrText>
      </w:r>
      <w:r>
        <w:rPr>
          <w:b/>
          <w:bCs/>
        </w:rPr>
        <w:tab/>
        <w:instrText>Increased Longevity.</w:instrText>
      </w:r>
      <w:r>
        <w:instrText xml:space="preserve"> </w:instrText>
      </w:r>
      <w:r w:rsidR="00BC7053">
        <w:fldChar w:fldCharType="end"/>
      </w:r>
      <w:r>
        <w:t xml:space="preserve"> Not surprisingly, the new data reflects an increased life expectancy for all persons under age 95.  For example, the following reflects how many persons out of a group of 10,000 births, would be alive at various ages:</w:t>
      </w:r>
    </w:p>
    <w:p w:rsidR="00800BE7" w:rsidRDefault="00800BE7">
      <w:pPr>
        <w:widowControl/>
        <w:jc w:val="both"/>
      </w:pPr>
    </w:p>
    <w:p w:rsidR="00800BE7" w:rsidRDefault="00800BE7">
      <w:pPr>
        <w:widowControl/>
        <w:tabs>
          <w:tab w:val="left" w:pos="-1440"/>
        </w:tabs>
        <w:ind w:left="4320" w:hanging="720"/>
        <w:jc w:val="both"/>
      </w:pPr>
      <w:r>
        <w:t>Age</w:t>
      </w:r>
      <w:r>
        <w:tab/>
        <w:t xml:space="preserve">    1990 CM Table      2000 CM Table</w:t>
      </w:r>
    </w:p>
    <w:p w:rsidR="00800BE7" w:rsidRDefault="00800BE7">
      <w:pPr>
        <w:widowControl/>
        <w:tabs>
          <w:tab w:val="left" w:pos="-1440"/>
        </w:tabs>
        <w:ind w:left="7200" w:hanging="3600"/>
        <w:jc w:val="both"/>
      </w:pPr>
      <w:r>
        <w:t>30</w:t>
      </w:r>
      <w:r>
        <w:tab/>
      </w:r>
      <w:r>
        <w:tab/>
        <w:t>97,070</w:t>
      </w:r>
      <w:r>
        <w:tab/>
      </w:r>
      <w:r>
        <w:tab/>
        <w:t>97,750</w:t>
      </w:r>
    </w:p>
    <w:p w:rsidR="00800BE7" w:rsidRDefault="00800BE7">
      <w:pPr>
        <w:widowControl/>
        <w:tabs>
          <w:tab w:val="left" w:pos="-1440"/>
        </w:tabs>
        <w:ind w:left="7200" w:hanging="3600"/>
        <w:jc w:val="both"/>
      </w:pPr>
      <w:r>
        <w:t>40</w:t>
      </w:r>
      <w:r>
        <w:tab/>
      </w:r>
      <w:r>
        <w:tab/>
        <w:t>95,373</w:t>
      </w:r>
      <w:r>
        <w:tab/>
      </w:r>
      <w:r>
        <w:tab/>
        <w:t>96,419</w:t>
      </w:r>
    </w:p>
    <w:p w:rsidR="00800BE7" w:rsidRDefault="00800BE7">
      <w:pPr>
        <w:widowControl/>
        <w:tabs>
          <w:tab w:val="left" w:pos="-1440"/>
        </w:tabs>
        <w:ind w:left="7200" w:hanging="3600"/>
        <w:jc w:val="both"/>
      </w:pPr>
      <w:r>
        <w:t>50</w:t>
      </w:r>
      <w:r>
        <w:tab/>
      </w:r>
      <w:r>
        <w:tab/>
        <w:t>92,370</w:t>
      </w:r>
      <w:r>
        <w:tab/>
      </w:r>
      <w:r>
        <w:tab/>
        <w:t>93,591</w:t>
      </w:r>
    </w:p>
    <w:p w:rsidR="00800BE7" w:rsidRDefault="00800BE7">
      <w:pPr>
        <w:widowControl/>
        <w:tabs>
          <w:tab w:val="left" w:pos="-1440"/>
        </w:tabs>
        <w:ind w:left="7200" w:hanging="3600"/>
        <w:jc w:val="both"/>
      </w:pPr>
      <w:r>
        <w:t>60</w:t>
      </w:r>
      <w:r>
        <w:tab/>
      </w:r>
      <w:r>
        <w:tab/>
        <w:t>85,537</w:t>
      </w:r>
      <w:r>
        <w:tab/>
      </w:r>
      <w:r>
        <w:tab/>
        <w:t>87,595</w:t>
      </w:r>
    </w:p>
    <w:p w:rsidR="00800BE7" w:rsidRDefault="00800BE7">
      <w:pPr>
        <w:widowControl/>
        <w:tabs>
          <w:tab w:val="left" w:pos="-1440"/>
        </w:tabs>
        <w:ind w:left="7200" w:hanging="3600"/>
        <w:jc w:val="both"/>
      </w:pPr>
      <w:r>
        <w:t>70</w:t>
      </w:r>
      <w:r>
        <w:tab/>
      </w:r>
      <w:r>
        <w:tab/>
        <w:t>71,357</w:t>
      </w:r>
      <w:r>
        <w:tab/>
      </w:r>
      <w:r>
        <w:tab/>
        <w:t>74,794</w:t>
      </w:r>
    </w:p>
    <w:p w:rsidR="00800BE7" w:rsidRDefault="00800BE7">
      <w:pPr>
        <w:widowControl/>
        <w:tabs>
          <w:tab w:val="left" w:pos="-1440"/>
        </w:tabs>
        <w:ind w:left="7200" w:hanging="3600"/>
        <w:jc w:val="both"/>
      </w:pPr>
      <w:r>
        <w:t>80</w:t>
      </w:r>
      <w:r>
        <w:tab/>
      </w:r>
      <w:r>
        <w:tab/>
        <w:t>47,084</w:t>
      </w:r>
      <w:r>
        <w:tab/>
      </w:r>
      <w:r>
        <w:tab/>
        <w:t>50,819</w:t>
      </w:r>
    </w:p>
    <w:p w:rsidR="00800BE7" w:rsidRDefault="00800BE7">
      <w:pPr>
        <w:widowControl/>
        <w:tabs>
          <w:tab w:val="left" w:pos="-1440"/>
        </w:tabs>
        <w:ind w:left="7200" w:hanging="3600"/>
        <w:jc w:val="both"/>
      </w:pPr>
      <w:r>
        <w:t>90</w:t>
      </w:r>
      <w:r>
        <w:tab/>
      </w:r>
      <w:r>
        <w:tab/>
        <w:t>17,046</w:t>
      </w:r>
      <w:r>
        <w:tab/>
      </w:r>
      <w:r>
        <w:tab/>
        <w:t>18,472</w:t>
      </w:r>
    </w:p>
    <w:p w:rsidR="00800BE7" w:rsidRDefault="00800BE7">
      <w:pPr>
        <w:widowControl/>
        <w:tabs>
          <w:tab w:val="left" w:pos="-1440"/>
        </w:tabs>
        <w:ind w:left="7200" w:hanging="4320"/>
        <w:jc w:val="both"/>
      </w:pPr>
      <w:r>
        <w:t xml:space="preserve">         100</w:t>
      </w:r>
      <w:r>
        <w:tab/>
      </w:r>
      <w:r>
        <w:tab/>
        <w:t xml:space="preserve">  1,424</w:t>
      </w:r>
      <w:r>
        <w:tab/>
      </w:r>
      <w:r>
        <w:tab/>
        <w:t xml:space="preserve">  1,477</w:t>
      </w:r>
    </w:p>
    <w:p w:rsidR="00800BE7" w:rsidRDefault="00800BE7">
      <w:pPr>
        <w:widowControl/>
        <w:jc w:val="both"/>
      </w:pPr>
    </w:p>
    <w:p w:rsidR="00800BE7" w:rsidRDefault="00800BE7">
      <w:pPr>
        <w:widowControl/>
        <w:ind w:left="2880"/>
        <w:jc w:val="both"/>
      </w:pPr>
      <w:r>
        <w:t>Oddly, longevity has declined for persons aged 102 or over.</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t>General Effects.</w:t>
      </w:r>
      <w:r>
        <w:t xml:space="preserve"> </w:t>
      </w:r>
      <w:r w:rsidR="00BC7053">
        <w:fldChar w:fldCharType="begin"/>
      </w:r>
      <w:r>
        <w:instrText>tc \l4 "</w:instrText>
      </w:r>
      <w:r>
        <w:rPr>
          <w:b/>
          <w:bCs/>
        </w:rPr>
        <w:instrText>·</w:instrText>
      </w:r>
      <w:r>
        <w:rPr>
          <w:b/>
          <w:bCs/>
        </w:rPr>
        <w:tab/>
        <w:instrText>General Effects.</w:instrText>
      </w:r>
      <w:r>
        <w:instrText xml:space="preserve"> </w:instrText>
      </w:r>
      <w:r w:rsidR="00BC7053">
        <w:fldChar w:fldCharType="end"/>
      </w:r>
      <w:r>
        <w:t xml:space="preserve"> The increased longevity under Table 2000 CM increases the value of lifetime interests and decreases the value of remainders or reversions following lifetime interests.  This is mixed news for estate planners, making charitable remainder trusts (CRTs) and qualified personal residence trusts (QPRTs) slightly less desirable, and making lifetime charitable lead trusts (CLTs), private annuities and self-cancelling installment notes (SCINs) slightly more desirable.</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Charitable Remainder Trust.</w:t>
      </w:r>
      <w:r>
        <w:t xml:space="preserve">  The value of a charitable remainder interest following a lifetime annuity or unitrust interest will be smaller under the new tables, because the increased longevity under Table 2000 CM gives the noncharit</w:t>
      </w:r>
      <w:r>
        <w:softHyphen/>
        <w:t>able beneficiary more years of annuity or unitrust payments.  This reduces the value of the deductible charitable remainder interest.</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Qualified Personal Residence Trust.</w:t>
      </w:r>
      <w:r>
        <w:t xml:space="preserve"> </w:t>
      </w:r>
      <w:r w:rsidR="00BC7053">
        <w:fldChar w:fldCharType="begin"/>
      </w:r>
      <w:r>
        <w:instrText>tc \l4 "</w:instrText>
      </w:r>
      <w:r>
        <w:rPr>
          <w:b/>
          <w:bCs/>
        </w:rPr>
        <w:instrText>·</w:instrText>
      </w:r>
      <w:r>
        <w:rPr>
          <w:b/>
          <w:bCs/>
        </w:rPr>
        <w:tab/>
        <w:instrText>Qualified Personal Residence Trust.</w:instrText>
      </w:r>
      <w:r>
        <w:instrText xml:space="preserve"> </w:instrText>
      </w:r>
      <w:r w:rsidR="00BC7053">
        <w:fldChar w:fldCharType="end"/>
      </w:r>
      <w:r>
        <w:t xml:space="preserve"> The value of the grantor’s reserved interest in a QPRT includes both the value of the right to use the residence for a fixed term-of-years and the value of the contingent reversionary interest if the grantor dies during the fixed term-of-years.  The increased longevity under Table 2000 CM reduces slightly the value of the rever</w:t>
      </w:r>
      <w:r>
        <w:softHyphen/>
        <w:t>sionary interest, because it is less likely that the grantor will die during the term-of-years.  This, in turn, decreases the value fo the grantor’s retained interests, and increases the amount of the taxable gift of the remainder interest.</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Lifetime Charitable Lead Trust.</w:t>
      </w:r>
      <w:r>
        <w:t xml:space="preserve"> </w:t>
      </w:r>
      <w:r w:rsidR="00BC7053">
        <w:fldChar w:fldCharType="begin"/>
      </w:r>
      <w:r>
        <w:instrText>tc \l4 "</w:instrText>
      </w:r>
      <w:r>
        <w:rPr>
          <w:b/>
          <w:bCs/>
        </w:rPr>
        <w:instrText>·</w:instrText>
      </w:r>
      <w:r>
        <w:rPr>
          <w:b/>
          <w:bCs/>
        </w:rPr>
        <w:tab/>
        <w:instrText>Lifetime Charitable Lead Trust.</w:instrText>
      </w:r>
      <w:r>
        <w:instrText xml:space="preserve"> </w:instrText>
      </w:r>
      <w:r w:rsidR="00BC7053">
        <w:fldChar w:fldCharType="end"/>
      </w:r>
      <w:r>
        <w:t xml:space="preserve"> A lifetime CLT trust pays an annuity or unitrust amount to named charities for the lifetime of a designated individual (often the grantor or the grantor’s spouse), with a remainder interest for designated individuals or trusts for their benefit.  The increased longevity under Table 2000 CM increases the value of the charity’s annuity or unitrust interest and decreases the value of the noncharitable remain</w:t>
      </w:r>
      <w:r>
        <w:softHyphen/>
        <w:t>der interest.  Thus, the income and either gift or estate tax deductions for a gift to a lifetime grantor CLT and the gift or estate tax deductions for a gift to a lifetime nongrantor CLT will be increased under the new rules.</w:t>
      </w:r>
    </w:p>
    <w:p w:rsidR="00800BE7" w:rsidRDefault="00800BE7">
      <w:pPr>
        <w:widowControl/>
        <w:jc w:val="both"/>
      </w:pPr>
    </w:p>
    <w:p w:rsidR="00800BE7" w:rsidRDefault="00800BE7">
      <w:pPr>
        <w:widowControl/>
        <w:tabs>
          <w:tab w:val="left" w:pos="-1440"/>
        </w:tabs>
        <w:ind w:left="2880" w:hanging="720"/>
        <w:jc w:val="both"/>
      </w:pPr>
      <w:r>
        <w:rPr>
          <w:b/>
          <w:bCs/>
        </w:rPr>
        <w:lastRenderedPageBreak/>
        <w:t>·</w:t>
      </w:r>
      <w:r>
        <w:rPr>
          <w:b/>
          <w:bCs/>
        </w:rPr>
        <w:tab/>
        <w:t>Private Annuity.</w:t>
      </w:r>
      <w:r>
        <w:t xml:space="preserve"> </w:t>
      </w:r>
      <w:r w:rsidR="00BC7053">
        <w:fldChar w:fldCharType="begin"/>
      </w:r>
      <w:r>
        <w:instrText>tc \l4 "</w:instrText>
      </w:r>
      <w:r>
        <w:rPr>
          <w:b/>
          <w:bCs/>
        </w:rPr>
        <w:instrText>·</w:instrText>
      </w:r>
      <w:r>
        <w:rPr>
          <w:b/>
          <w:bCs/>
        </w:rPr>
        <w:tab/>
        <w:instrText>Private Annuity.</w:instrText>
      </w:r>
      <w:r>
        <w:instrText xml:space="preserve"> </w:instrText>
      </w:r>
      <w:r w:rsidR="00BC7053">
        <w:fldChar w:fldCharType="end"/>
      </w:r>
      <w:r>
        <w:t xml:space="preserve"> A private annuity is an intrafamily sale of property for an unsecured promise to pay the seller a fixed dollar amount at least annually, for the lifetime of a named measuring life (usually the seller).  The increased longevity under Table 2000 CM increases the value of the reserved annuity, and reduces the amount that must be distributed annually in order to produce a total value equal to that of the assets sold.  This makes it easier to finance a private annuity from the income and gains generated by the annuity property itself, and makes these devices more useful.</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t>Self-Cancelling Installment Note.</w:t>
      </w:r>
      <w:r>
        <w:t xml:space="preserve"> </w:t>
      </w:r>
      <w:r w:rsidR="00BC7053">
        <w:fldChar w:fldCharType="begin"/>
      </w:r>
      <w:r>
        <w:instrText>tc \l4 "</w:instrText>
      </w:r>
      <w:r>
        <w:rPr>
          <w:b/>
          <w:bCs/>
        </w:rPr>
        <w:instrText>·</w:instrText>
      </w:r>
      <w:r>
        <w:rPr>
          <w:b/>
          <w:bCs/>
        </w:rPr>
        <w:tab/>
        <w:instrText>Self-Cancelling Installment Note.</w:instrText>
      </w:r>
      <w:r>
        <w:instrText xml:space="preserve"> </w:instrText>
      </w:r>
      <w:r w:rsidR="00BC7053">
        <w:fldChar w:fldCharType="end"/>
      </w:r>
      <w:r>
        <w:t xml:space="preserve"> A SCIN involves a sale of property for an installment obligation that terminates on the earlier of the complete repayment of the debt or the seller’s death.  The purchase price for a SCIN must include a premium that reflects the additional benefit that inures to the buyer if the seller dies before the note is completely repaid.  The increased longevity under Table 2000 CM reduces the likelihood that the grantor will die before each note payment is made, and reduces the SCIN premium.  This makes the SCIN more affordable to the buyer, and enhances its estate planning utility.</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Grantor Retained Annuity Trust.</w:t>
      </w:r>
      <w:r>
        <w:t xml:space="preserve"> </w:t>
      </w:r>
      <w:r w:rsidR="00BC7053">
        <w:fldChar w:fldCharType="begin"/>
      </w:r>
      <w:r>
        <w:instrText>tc \l4 "</w:instrText>
      </w:r>
      <w:r>
        <w:rPr>
          <w:b/>
          <w:bCs/>
        </w:rPr>
        <w:instrText>·</w:instrText>
      </w:r>
      <w:r>
        <w:rPr>
          <w:b/>
          <w:bCs/>
        </w:rPr>
        <w:tab/>
        <w:instrText>Grantor Retained Annuity Trust.</w:instrText>
      </w:r>
      <w:r>
        <w:instrText xml:space="preserve"> </w:instrText>
      </w:r>
      <w:r w:rsidR="00BC7053">
        <w:fldChar w:fldCharType="end"/>
      </w:r>
      <w:r>
        <w:t xml:space="preserve"> A GRAT is not usually affected by the new actuarial tables.  A GRAT is required to pay an annuity to the grantor for a term of years.  In some cases, the trust principal reverts to the grantor if he or she dies during the term of years.  The increased longevity under Table 2000 CM reduces the likelihood that the grantor will die during the term of years, but the value of that reversionary is not itself a qualified interest, and is ignored for gift tax purposes.</w:t>
      </w:r>
    </w:p>
    <w:p w:rsidR="00800BE7" w:rsidRDefault="00800BE7">
      <w:pPr>
        <w:widowControl/>
        <w:ind w:left="2880" w:firstLine="720"/>
        <w:jc w:val="both"/>
      </w:pPr>
      <w:r>
        <w:t>The increased longevity under Table 2000 CM would, however, be relevant for a GRAT the remainder of which passes to someone who is not a family member of the grantor, because the value of the reversionary interest would now be taken into account in determining the amount of the gift.  Code §§ 2702(a)(1), 2702(a)(2)(B).  For this purpose, a member of the grantor’s family includes the grantor’s spouse, a lineal descendant of the grantor or the grantor’s spouse, and the spouse of any such descendant. Code §§ 2702(e), 2701(e)(1).  In such cases, the value of the reversionary interest would be taken into account in measuring the gift to the remainder beneficiary, and the reduced value of the reversionary interest, like that in a QPRT, would diminish the value of this technique.</w:t>
      </w:r>
    </w:p>
    <w:p w:rsidR="00800BE7" w:rsidRDefault="00800BE7">
      <w:pPr>
        <w:widowControl/>
        <w:jc w:val="both"/>
      </w:pPr>
    </w:p>
    <w:p w:rsidR="00800BE7" w:rsidRDefault="00800BE7">
      <w:pPr>
        <w:widowControl/>
        <w:tabs>
          <w:tab w:val="left" w:pos="-1440"/>
        </w:tabs>
        <w:ind w:left="2880" w:hanging="720"/>
        <w:jc w:val="both"/>
      </w:pPr>
      <w:r>
        <w:rPr>
          <w:b/>
          <w:bCs/>
        </w:rPr>
        <w:lastRenderedPageBreak/>
        <w:t>·</w:t>
      </w:r>
      <w:r>
        <w:rPr>
          <w:b/>
          <w:bCs/>
        </w:rPr>
        <w:tab/>
        <w:t>Effective Dates.</w:t>
      </w:r>
      <w:r>
        <w:t xml:space="preserve">  Generally, the new tables apply to transfers for which the valuation date is on or after May 1, 2009.  As a transition rule for gift and estate tax purposes, if the date of a gift or the date of death is on or after May 1, 2009, but before July 1, 2009, the transferor may choose to determine the value of the transfer (and/or any applicable charitable deduction) under tables based on either Life Table 90CM or Table 2000CM.</w:t>
      </w:r>
    </w:p>
    <w:p w:rsidR="00800BE7" w:rsidRDefault="00800BE7">
      <w:pPr>
        <w:widowControl/>
        <w:tabs>
          <w:tab w:val="left" w:pos="-1440"/>
        </w:tabs>
        <w:ind w:left="2880" w:hanging="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In cases involving a charitable deduction with a valua</w:t>
      </w:r>
      <w:r>
        <w:softHyphen/>
        <w:t>tion date on or after May 1, 2009 and before July 1, 2009, if  the executor or donor elects to use the Section 7520 interest rate for March or April 2009, then the mortality experience contained in 90CM must be used.  If the executor or donor uses the Section 7520 interest rate for May or June 2009, IRS said, then the tables based on either Table 90CM or Table 2000CM may be used.  If the valuation date occurs after June 30, 2009, the executor or donor must use the new mortality experience contained in Table 2000CM even if the use of a prior month's interest rate is elected.</w:t>
      </w:r>
    </w:p>
    <w:p w:rsidR="00800BE7" w:rsidRDefault="00800BE7">
      <w:pPr>
        <w:widowControl/>
        <w:ind w:left="2880" w:firstLine="720"/>
        <w:jc w:val="both"/>
      </w:pPr>
      <w:r>
        <w:t>The estate of a mentally incompetent decedent may elect to value the property interest included in the gross estate under either the mortality table and interest rate in effect at the time the decedent became mentally incompetent, or the table and interest rate in effect on the decedent's date of death, if the decedent was under a mental incapacity that existed on May 1, 2009, and continued uninterrupted until the decedent's death, or the decedent died within 90 days after regaining competency on or after May 1, 2009.</w:t>
      </w:r>
    </w:p>
    <w:p w:rsidR="00800BE7" w:rsidRDefault="00800BE7">
      <w:pPr>
        <w:widowControl/>
        <w:jc w:val="both"/>
      </w:pPr>
    </w:p>
    <w:p w:rsidR="00800BE7" w:rsidRDefault="00800BE7">
      <w:pPr>
        <w:widowControl/>
        <w:ind w:left="2160" w:firstLine="720"/>
        <w:jc w:val="both"/>
      </w:pPr>
      <w:r>
        <w:rPr>
          <w:b/>
          <w:bCs/>
        </w:rPr>
        <w:t>Note</w:t>
      </w:r>
      <w:r>
        <w:t>.  See also IRS Publications 1457 (Actuarial Valuations, Version 3A: Remainder, Income, and Annuity Examples – For One Life, Two Lives, and Terms Certain), 1458 (Actuarial Valuations, Version 3B: Unitrust Remainder Examples – For One Life, Two Lives, and Terms Certain), and 1459 (Actuarial Valuations, Version 3C: Examples for Computing Depreciation Adjustment Factors).</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Releases Interest Rate Adjustments for Section 2032A.  Rev.  Rul.  2011-17, 2011-33 I.R.B. 160 (Aug. 15, 2011)</w:t>
      </w:r>
      <w:r>
        <w:fldChar w:fldCharType="begin"/>
      </w:r>
      <w:r w:rsidR="00800BE7">
        <w:instrText>tc \l3 "</w:instrText>
      </w:r>
      <w:r w:rsidR="00800BE7">
        <w:rPr>
          <w:b/>
          <w:bCs/>
        </w:rPr>
        <w:instrText>Field result goes here</w:instrText>
      </w:r>
      <w:r w:rsidR="00800BE7">
        <w:rPr>
          <w:b/>
          <w:bCs/>
        </w:rPr>
        <w:tab/>
        <w:instrText>IRS Releases Interest Rate Adjustments for Section 2032A.  Rev.  Rul.  2011-17, 2011-33 I.R.B. 160 (Aug. 15, 2011)</w:instrText>
      </w:r>
      <w:r>
        <w:fldChar w:fldCharType="end"/>
      </w:r>
    </w:p>
    <w:p w:rsidR="00800BE7" w:rsidRDefault="00800BE7">
      <w:pPr>
        <w:keepNext/>
        <w:keepLines/>
        <w:widowControl/>
        <w:jc w:val="both"/>
      </w:pPr>
    </w:p>
    <w:p w:rsidR="00800BE7" w:rsidRDefault="00800BE7">
      <w:pPr>
        <w:keepLines/>
        <w:widowControl/>
        <w:ind w:left="2160"/>
        <w:jc w:val="both"/>
      </w:pPr>
      <w:r>
        <w:t>The IRS released the 2010 and 2011 interest rates to be used in computing the special use value of farm real property for which an election is made under Section 2032A.</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Section 2032A Limitation Adjusted for Inflation.  Rev. Proc. 2010-40 § 3.20, 2010-46 I.R.B. 663 (Nov. 15, 2010)</w:t>
      </w:r>
      <w:r>
        <w:fldChar w:fldCharType="begin"/>
      </w:r>
      <w:r w:rsidR="00800BE7">
        <w:instrText>tc \l3 "</w:instrText>
      </w:r>
      <w:r w:rsidR="00800BE7">
        <w:rPr>
          <w:b/>
          <w:bCs/>
        </w:rPr>
        <w:instrText>Field result goes here</w:instrText>
      </w:r>
      <w:r w:rsidR="00800BE7">
        <w:rPr>
          <w:b/>
          <w:bCs/>
        </w:rPr>
        <w:tab/>
        <w:instrText>Section 2032A Limitation Adjusted for Inflation.  Rev. Proc. 2010-40 § 3.20, 2010-46 I.R.B. 663 (Nov. 15, 2010)</w:instrText>
      </w:r>
      <w:r>
        <w:fldChar w:fldCharType="end"/>
      </w:r>
    </w:p>
    <w:p w:rsidR="00800BE7" w:rsidRDefault="00800BE7">
      <w:pPr>
        <w:keepNext/>
        <w:keepLines/>
        <w:widowControl/>
        <w:jc w:val="both"/>
      </w:pPr>
    </w:p>
    <w:p w:rsidR="00800BE7" w:rsidRDefault="00800BE7">
      <w:pPr>
        <w:keepLines/>
        <w:widowControl/>
        <w:ind w:left="2160"/>
        <w:jc w:val="both"/>
      </w:pPr>
      <w:r>
        <w:t>An estate can reduce the estate tax value of qualifying real property used in a farm or business and valued under Section 2032A, by up to $1,020,000 for estates of decedents dying in 2011.</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Transfer and Lease of Farmland to Qualified Heir Does Not Result in Recapture Tax Under Section 2032A.  PLR 201129016, 201129018, 201129019, 201129020 (July 22, 2011)</w:t>
      </w:r>
      <w:r>
        <w:fldChar w:fldCharType="begin"/>
      </w:r>
      <w:r w:rsidR="00800BE7">
        <w:instrText>tc \l3 "</w:instrText>
      </w:r>
      <w:r w:rsidR="00800BE7">
        <w:rPr>
          <w:b/>
          <w:bCs/>
        </w:rPr>
        <w:instrText>Field result goes here</w:instrText>
      </w:r>
      <w:r w:rsidR="00800BE7">
        <w:rPr>
          <w:b/>
          <w:bCs/>
        </w:rPr>
        <w:tab/>
        <w:instrText>Transfer and Lease of Farmland to Qualified Heir Does Not Result in Recapture Tax Under Section 2032A.  PLR 201129016, 201129018, 201129019, 201129020 (July 22,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D died owning farmland.  D actively and materially participated in the farming activities at death.  D’s will left the residue of his estate outright to his four children in equal shares.  The share for any predeceased child was left in trust for D’s grandchildren through that deceased child, until the grandchild reached age 25.  Three of the children who survived D disclaimed part of his interest in the farm, and the disclaimed shares went to trusts for the relevant grandchildren or outright to grandchildren who had already reached 25 years of age.  The various beneficiaries propose to form four LLCs to which they will transfer their undivided interests in exchange for proportionate interests in the LLCs.  Each LLC proposes to enter into a leasing agreement with a partnership, in exchange for a sum certain per annum or a certain percentage share of the crops grown per annum, as the partnership shall decide.</w:t>
      </w:r>
    </w:p>
    <w:p w:rsidR="00800BE7" w:rsidRDefault="00800BE7">
      <w:pPr>
        <w:widowControl/>
        <w:ind w:left="2160" w:firstLine="720"/>
        <w:jc w:val="both"/>
      </w:pPr>
      <w:r>
        <w:t>The IRS ruled that neither the transfers to the LLC nor the leasing resulted in additional estate tax under Section  2032A(c)(1)(A).  The IRS noted that Reg. § 20.2032A</w:t>
      </w:r>
      <w:r>
        <w:noBreakHyphen/>
        <w:t>3(b)(1) states that a decedent can own farm property either directly or through an interest in a corporation, partnership, or trust.  Where the ownership is indirect, the decedent's interest in the business, must qualify under the tests of Section 6166(b)(1) as an interest in a closely</w:t>
      </w:r>
      <w:r>
        <w:noBreakHyphen/>
        <w:t>held business on the date of the decedent's death and for sufficient other time.  The IRS acknowledged that no regulations have ever been issued applying this rule to qualified heirs, but quoted from the legislative history to show that Congress intended this rule to apply to qualified heirs as well.  H.R. Rep. No. 94</w:t>
      </w:r>
      <w:r>
        <w:noBreakHyphen/>
        <w:t>1380, n.3 at 25, 94</w:t>
      </w:r>
      <w:r>
        <w:rPr>
          <w:vertAlign w:val="superscript"/>
        </w:rPr>
        <w:t>th</w:t>
      </w:r>
      <w:r>
        <w:t xml:space="preserve"> Cong., 2d Sess. (1976).  Therefore, the grandchildren were “qualified heirs” and they may own their interests indirectly through trusts or through an LLC, without ceasing to be deemed to hold them for purposes of Section 2032A.  The IRS also noted that there is no cessation of farming use when there is a lease in which the lessor receives a share of crops or income based on the farm production.  S. Rep. No. 97</w:t>
      </w:r>
      <w:r>
        <w:noBreakHyphen/>
        <w:t>144, at 133, 97</w:t>
      </w:r>
      <w:r>
        <w:rPr>
          <w:vertAlign w:val="superscript"/>
        </w:rPr>
        <w:t>th</w:t>
      </w:r>
      <w:r>
        <w:t xml:space="preserve"> Cong., 1</w:t>
      </w:r>
      <w:r>
        <w:rPr>
          <w:vertAlign w:val="superscript"/>
        </w:rPr>
        <w:t>st</w:t>
      </w:r>
      <w:r>
        <w:t xml:space="preserve"> Sess. (1981).  Income from a leasing </w:t>
      </w:r>
      <w:r>
        <w:lastRenderedPageBreak/>
        <w:t xml:space="preserve">arrangement in which the lessee has the option to pay the lessor rent either in the form of a sum certain or a certain percentage of the crop share is substantially dependent upon production. </w:t>
      </w:r>
      <w:r>
        <w:rPr>
          <w:i/>
          <w:iCs/>
        </w:rPr>
        <w:t>Estate of Gavin v. United States,</w:t>
      </w:r>
      <w:r>
        <w:t xml:space="preserve"> 113 F.3d 802 (8th Cir. 1997); </w:t>
      </w:r>
      <w:r>
        <w:rPr>
          <w:i/>
          <w:iCs/>
        </w:rPr>
        <w:t>Schuneman v. United States</w:t>
      </w:r>
      <w:r>
        <w:t>, 783 F.2d 694 (7th Cir. 1986).  Therefore, the leases to the partnership do not disturb the special use valuation for the estate.</w:t>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Allows Late Alternate Valuation Date Election, If Made Within One Year of the Return Due Date.  PLRs 201122009 (June 3, 2011) and 201109014 (March 4, 2011)</w:t>
      </w:r>
      <w:r>
        <w:fldChar w:fldCharType="begin"/>
      </w:r>
      <w:r w:rsidR="00800BE7">
        <w:instrText>tc \l3 "</w:instrText>
      </w:r>
      <w:r w:rsidR="00800BE7">
        <w:rPr>
          <w:b/>
          <w:bCs/>
        </w:rPr>
        <w:instrText>Field result goes here</w:instrText>
      </w:r>
      <w:r w:rsidR="00800BE7">
        <w:rPr>
          <w:b/>
          <w:bCs/>
        </w:rPr>
        <w:tab/>
        <w:instrText>IRS Allows Late Alternate Valuation Date Election, If Made Within One Year of the Return Due Date.  PLRs 201122009 (June 3, 2011) and 201109014 (March 4, 2011)</w:instrText>
      </w:r>
      <w:r>
        <w:fldChar w:fldCharType="end"/>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t>PLR 201122009.</w:t>
      </w:r>
      <w:r>
        <w:t xml:space="preserve"> Executor of Decedent’s estate filed a timely estate tax return prepared by CPA 1.  CPA 1 did not make the alternate valuation election.  The executor later met with CPA 2 who suggested that executor elect to use alternate valuation.  After obtaining appraisals, CPA 2 prepared a supplemental Form 706.  The alternate valuation date election was made on supplemental information filed within one year of the due date of the return, including extensions.</w:t>
      </w:r>
    </w:p>
    <w:p w:rsidR="00800BE7" w:rsidRDefault="00800BE7">
      <w:pPr>
        <w:widowControl/>
        <w:ind w:left="2880" w:firstLine="720"/>
        <w:jc w:val="both"/>
      </w:pPr>
      <w:r>
        <w:t>The IRS permitted a late election of alternate valuation date, pursuant to Regs. §§ 301.9100</w:t>
      </w:r>
      <w:r>
        <w:noBreakHyphen/>
        <w:t>1 and 301.9100</w:t>
      </w:r>
      <w:r>
        <w:noBreakHyphen/>
        <w:t>3.  The IRS noted that an extension is not permitted unless the estate tax return is filed no later than 1 year after the due date of the return, including extensions. The IRS also explained that relying on a competent expert to prepare the return and make the election demonstrates that the taxpayer has acted reason</w:t>
      </w:r>
      <w:r>
        <w:softHyphen/>
        <w:t>ably and in good faith.  Treas. Reg. §  301.9100</w:t>
      </w:r>
      <w:r>
        <w:noBreakHyphen/>
        <w:t xml:space="preserve">3(b)(1)(v).  Based on the facts submitted and the representations made, the IRS concluded that the extension should be permitted. </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PLR 201109014. </w:t>
      </w:r>
      <w:r>
        <w:t xml:space="preserve"> The personal representatives of D’s estate hired CPA to prepare the estate tax return, and they signed and filed a timely return prepared by CPA, valuing the assets on the date of the decedent’s death.  Over 18 months after the due date (including extensions) of the return, the personal representatives realized that the estate could have benefitted from an alternate valuation date election.  They asked the IRS to grant additional time to make the alternate valuation date election under Section 2032.</w:t>
      </w:r>
    </w:p>
    <w:p w:rsidR="00800BE7" w:rsidRDefault="00800BE7">
      <w:pPr>
        <w:widowControl/>
        <w:ind w:left="2880" w:firstLine="720"/>
        <w:jc w:val="both"/>
      </w:pPr>
      <w:r>
        <w:t xml:space="preserve">In a 2010 ruling, the IRS denied the request, noting that the Code requires that the alternate valuation date election be made on the estate tax return and that it be made not later than one year after the time prescribed by law (including extensions) for filing such return.  Code § 2032(d)(2).  </w:t>
      </w:r>
      <w:r>
        <w:lastRenderedPageBreak/>
        <w:t>Although the taxpayer acted reasonably and in good faith, and that granting relief would not prejudice the interests of the government, the IRS stated that it still cannot allow an alternate valuation date election more than one year after the return filing date.</w:t>
      </w:r>
    </w:p>
    <w:p w:rsidR="00800BE7" w:rsidRDefault="00800BE7">
      <w:pPr>
        <w:widowControl/>
        <w:ind w:left="2880" w:firstLine="720"/>
        <w:jc w:val="both"/>
      </w:pPr>
      <w:r>
        <w:t>In a 2011 ruling, the IRS reversed its position.  It stated that, “after reconsideration, we conclude that Dece</w:t>
      </w:r>
      <w:r>
        <w:softHyphen/>
        <w:t>dent’s estate meets the requirements for relief. . . .”</w:t>
      </w:r>
    </w:p>
    <w:p w:rsidR="00800BE7" w:rsidRDefault="00800BE7">
      <w:pPr>
        <w:widowControl/>
        <w:ind w:left="2880" w:firstLine="720"/>
        <w:jc w:val="both"/>
      </w:pPr>
      <w:r>
        <w:rPr>
          <w:b/>
          <w:bCs/>
        </w:rPr>
        <w:t xml:space="preserve">Note. </w:t>
      </w:r>
      <w:r>
        <w:t xml:space="preserve"> The IRS will grant discretionary extensions of the time for making the alternate valuation date election in appro</w:t>
      </w:r>
      <w:r>
        <w:softHyphen/>
        <w:t>priate cases, but it will not do so when the one-year limitation has passed.  The 2010 ruling was wrong, because the return was filed on time, but without the election.  The preamble to the regulations stated:</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3600" w:right="720"/>
        <w:jc w:val="both"/>
      </w:pPr>
      <w:r>
        <w:lastRenderedPageBreak/>
        <w:t>In view of the 1</w:t>
      </w:r>
      <w:r>
        <w:noBreakHyphen/>
        <w:t>year limitation imposed under section 2032(d)(2), the proposed regulations provided that no request for an extension of time to make the alternate valuation election under the provisions of §§ 301.9100</w:t>
      </w:r>
      <w:r>
        <w:noBreakHyphen/>
        <w:t>1 and 301.9100</w:t>
      </w:r>
      <w:r>
        <w:noBreakHyphen/>
        <w:t>3 will be granted if the request is sub</w:t>
      </w:r>
      <w:r>
        <w:softHyphen/>
        <w:t>mitted to the IRS more than 1 year after the due date of the return of tax imposed by section 2001 (including extensions of time actually granted). One com</w:t>
      </w:r>
      <w:r>
        <w:softHyphen/>
        <w:t>mentator argued that the 1</w:t>
      </w:r>
      <w:r>
        <w:noBreakHyphen/>
        <w:t>year limitation in section 2032(d)(2) applies only to late</w:t>
      </w:r>
      <w:r>
        <w:noBreakHyphen/>
        <w:t>filed returns, and therefore should not limit the avail</w:t>
      </w:r>
      <w:r>
        <w:softHyphen/>
        <w:t>ability of relief under §§ 301.9100</w:t>
      </w:r>
      <w:r>
        <w:noBreakHyphen/>
        <w:t>1 and 301.9100</w:t>
      </w:r>
      <w:r>
        <w:noBreakHyphen/>
        <w:t>3 to make a late alternate valuation election if the taxpayer timely filed its return, but failed to make the election on the return.  After considering the language and intent of section 2032 and §§ 301.9100</w:t>
      </w:r>
      <w:r>
        <w:noBreakHyphen/>
        <w:t>1 and 301.9100</w:t>
      </w:r>
      <w:r>
        <w:noBreakHyphen/>
        <w:t>3, the IRS and Treasury Department have determined that taxpayers may request relief under §§ 301.9100</w:t>
      </w:r>
      <w:r>
        <w:noBreakHyphen/>
        <w:t>1 and 301.9100</w:t>
      </w:r>
      <w:r>
        <w:noBreakHyphen/>
        <w:t>3, even after the expiration of the 1</w:t>
      </w:r>
      <w:r>
        <w:noBreakHyphen/>
        <w:t>year period, and that such relief may be granted (subject to the require</w:t>
      </w:r>
      <w:r>
        <w:softHyphen/>
        <w:t>ments of §§ 301.9100</w:t>
      </w:r>
      <w:r>
        <w:noBreakHyphen/>
        <w:t>1 and 301.9100</w:t>
      </w:r>
      <w:r>
        <w:noBreakHyphen/>
        <w:t>3) pro</w:t>
      </w:r>
      <w:r>
        <w:softHyphen/>
        <w:t>vided that the return of tax is filed no later than 1 year after the due date of the return (including extensions of time actually granted.)  70 Fed. Reg. 295 (Jan. 4, 2005).</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1440" w:hanging="720"/>
        <w:jc w:val="both"/>
      </w:pPr>
      <w:r>
        <w:rPr>
          <w:b/>
          <w:bCs/>
        </w:rPr>
        <w:lastRenderedPageBreak/>
        <w:fldChar w:fldCharType="begin"/>
      </w:r>
      <w:r w:rsidR="00800BE7">
        <w:rPr>
          <w:b/>
          <w:bCs/>
        </w:rPr>
        <w:instrText>LISTNUM Outline \l 2</w:instrText>
      </w:r>
      <w:r>
        <w:rPr>
          <w:b/>
          <w:bCs/>
        </w:rPr>
        <w:fldChar w:fldCharType="end"/>
      </w:r>
      <w:r w:rsidR="00800BE7">
        <w:rPr>
          <w:b/>
          <w:bCs/>
        </w:rPr>
        <w:tab/>
        <w:t>Family Limited Partnerships (FLPs) and Limited Liability Companies (LLCs) (Code §§ 2031, 2036</w:t>
      </w:r>
      <w:r w:rsidR="00800BE7">
        <w:rPr>
          <w:b/>
          <w:bCs/>
        </w:rPr>
        <w:noBreakHyphen/>
        <w:t xml:space="preserve">2038, 2511, 2512, 2704 </w:t>
      </w:r>
      <w:r w:rsidR="00800BE7">
        <w:rPr>
          <w:b/>
          <w:bCs/>
          <w:i/>
          <w:iCs/>
        </w:rPr>
        <w:t>et alia</w:t>
      </w:r>
      <w:r w:rsidR="00800BE7">
        <w:rPr>
          <w:b/>
          <w:bCs/>
        </w:rPr>
        <w:t>)</w:t>
      </w:r>
      <w:r>
        <w:fldChar w:fldCharType="begin"/>
      </w:r>
      <w:r w:rsidR="00800BE7">
        <w:instrText>tc \l2 "</w:instrText>
      </w:r>
      <w:r w:rsidR="00800BE7">
        <w:rPr>
          <w:b/>
          <w:bCs/>
        </w:rPr>
        <w:instrText>Field result goes here</w:instrText>
      </w:r>
      <w:r w:rsidR="00800BE7">
        <w:rPr>
          <w:b/>
          <w:bCs/>
        </w:rPr>
        <w:tab/>
        <w:instrText>Family Limited Partnerships (FLPs) and Limited Liability Companies (LLCs) (Code §§ 2031, 2036</w:instrText>
      </w:r>
      <w:r w:rsidR="00800BE7">
        <w:rPr>
          <w:b/>
          <w:bCs/>
        </w:rPr>
        <w:noBreakHyphen/>
        <w:instrText xml:space="preserve">2038, 2511, 2512, 2704 </w:instrText>
      </w:r>
      <w:r w:rsidR="00800BE7">
        <w:rPr>
          <w:b/>
          <w:bCs/>
          <w:i/>
          <w:iCs/>
        </w:rPr>
        <w:instrText>et alia</w:instrText>
      </w:r>
      <w:r w:rsidR="00800BE7">
        <w:rPr>
          <w:b/>
          <w:bCs/>
        </w:rPr>
        <w:instrText>)</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Treasury Would Expand Scope of Section 2704(b) and Ignore More Restrictions, Reducing Valuation Dis</w:t>
      </w:r>
      <w:r w:rsidR="00800BE7">
        <w:rPr>
          <w:b/>
          <w:bCs/>
        </w:rPr>
        <w:softHyphen/>
        <w:t>counts.  Dept. of Treasury, “General Explanations of the Administration’s Fiscal Year 2012 Revenue Proposals” p. 127 (Feb. 14, 2011)</w:t>
      </w:r>
      <w:r>
        <w:fldChar w:fldCharType="begin"/>
      </w:r>
      <w:r w:rsidR="00800BE7">
        <w:instrText>tc \l3 "</w:instrText>
      </w:r>
      <w:r w:rsidR="00800BE7">
        <w:rPr>
          <w:b/>
          <w:bCs/>
        </w:rPr>
        <w:instrText>Field result goes here</w:instrText>
      </w:r>
      <w:r w:rsidR="00800BE7">
        <w:rPr>
          <w:b/>
          <w:bCs/>
        </w:rPr>
        <w:tab/>
        <w:instrText>Treasury Would Expand Scope of Section 2704(b) and Ignore More Restrictions, Reducing Valuation Dis</w:instrText>
      </w:r>
      <w:r w:rsidR="00800BE7">
        <w:rPr>
          <w:b/>
          <w:bCs/>
        </w:rPr>
        <w:softHyphen/>
        <w:instrText>counts.  Dept. of Treasury, “General Explanations of the Administration’s Fiscal Year 2012 Revenue Proposals” p. 127 (Feb. 14, 2011)</w:instrText>
      </w:r>
      <w:r>
        <w:fldChar w:fldCharType="end"/>
      </w:r>
    </w:p>
    <w:p w:rsidR="00800BE7" w:rsidRDefault="00800BE7">
      <w:pPr>
        <w:keepNext/>
        <w:keepLines/>
        <w:widowControl/>
        <w:jc w:val="both"/>
      </w:pPr>
    </w:p>
    <w:p w:rsidR="00800BE7" w:rsidRDefault="00800BE7">
      <w:pPr>
        <w:keepLines/>
        <w:widowControl/>
        <w:ind w:left="2160"/>
        <w:jc w:val="both"/>
      </w:pPr>
      <w:r>
        <w:t>The Treasury includes in the Administration’s 2012 budget proposal a potentially significant expansion of the scope of Section 2704(b), which currently ignores in valuing an interest in a closely-held entity, any applicable restrictions on liquidation that would lapse or that could be removed after the transfer.</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lastRenderedPageBreak/>
        <w:t>·</w:t>
      </w:r>
      <w:r>
        <w:tab/>
      </w:r>
      <w:r>
        <w:rPr>
          <w:b/>
          <w:bCs/>
        </w:rPr>
        <w:t>Disregarded Restrictions.</w:t>
      </w:r>
      <w:r>
        <w:t xml:space="preserve">  The Treasury proposes that a new category of restrictions called “disregarded restrictions,” which would be ignored under Section 2704(b) in valuing an interest in a family-controlled entity transferred to a member of the family if, after the transfer, the restriction will lapse or can be removed by the transferor and/or the transfer’s family.  The transferred interest would be valued by substituting for the disregarded restrictions certain assumptions to be specified in regulations.  Disregarded restrictions would include limitations on a holder’s right to liquidate that holder’s interest that are more restrictive than a standard identified in regulations, even if they are no more restrictive than those restrictions imposed by applicable state law.  A disregarded restriction also would include any limitation on a transferee’s ability to be admitted as a full partner or member, rather than being merely an assignee.</w:t>
      </w:r>
    </w:p>
    <w:p w:rsidR="00800BE7" w:rsidRDefault="00800BE7">
      <w:pPr>
        <w:widowControl/>
        <w:jc w:val="both"/>
      </w:pPr>
    </w:p>
    <w:p w:rsidR="00800BE7" w:rsidRDefault="00800BE7">
      <w:pPr>
        <w:widowControl/>
        <w:tabs>
          <w:tab w:val="left" w:pos="-1440"/>
        </w:tabs>
        <w:ind w:left="2880" w:hanging="720"/>
        <w:jc w:val="both"/>
      </w:pPr>
      <w:r>
        <w:t>·</w:t>
      </w:r>
      <w:r>
        <w:tab/>
      </w:r>
      <w:r>
        <w:rPr>
          <w:b/>
          <w:bCs/>
        </w:rPr>
        <w:t>Ignoring Certain Nonfamily Interests.</w:t>
      </w:r>
      <w:r>
        <w:t xml:space="preserve"> In order to counter the use of small non-family interests (often charitable) to preclude the transferor’s family from being able to remove an applicable or disregarded restriction after the transfer, the Treasury proposes that certain interests (to be identified in regulations) held by charities or others who are not family members of the transferor would be deemed to be held by the transferor’s family.</w:t>
      </w:r>
    </w:p>
    <w:p w:rsidR="00800BE7" w:rsidRDefault="00800BE7">
      <w:pPr>
        <w:widowControl/>
        <w:jc w:val="both"/>
      </w:pPr>
    </w:p>
    <w:p w:rsidR="00800BE7" w:rsidRDefault="00800BE7">
      <w:pPr>
        <w:widowControl/>
        <w:tabs>
          <w:tab w:val="left" w:pos="-1440"/>
        </w:tabs>
        <w:ind w:left="2880" w:hanging="720"/>
        <w:jc w:val="both"/>
      </w:pPr>
      <w:r>
        <w:t>·</w:t>
      </w:r>
      <w:r>
        <w:tab/>
      </w:r>
      <w:r>
        <w:rPr>
          <w:b/>
          <w:bCs/>
        </w:rPr>
        <w:t>Marital and Charitable Deductions.</w:t>
      </w:r>
      <w:r>
        <w:t xml:space="preserve"> This proposal would make conforming clarifications with regard to the interaction of this proposal with the estate and gift marital and charitable deductions.</w:t>
      </w:r>
    </w:p>
    <w:p w:rsidR="00800BE7" w:rsidRDefault="00800BE7">
      <w:pPr>
        <w:widowControl/>
        <w:jc w:val="both"/>
      </w:pPr>
    </w:p>
    <w:p w:rsidR="00800BE7" w:rsidRDefault="00800BE7">
      <w:pPr>
        <w:widowControl/>
        <w:tabs>
          <w:tab w:val="left" w:pos="-1440"/>
        </w:tabs>
        <w:ind w:left="2880" w:hanging="720"/>
        <w:jc w:val="both"/>
      </w:pPr>
      <w:r>
        <w:t>·</w:t>
      </w:r>
      <w:r>
        <w:tab/>
      </w:r>
      <w:r>
        <w:rPr>
          <w:b/>
          <w:bCs/>
        </w:rPr>
        <w:t>Effective Date.</w:t>
      </w:r>
      <w:r>
        <w:t xml:space="preserve">  These proposals would apply to transfers after the date of enactment, for property subject to restrictions created after October 8, 1990 (the effective date of section 2704).</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rPr>
          <w:b/>
          <w:bCs/>
        </w:rPr>
        <w:lastRenderedPageBreak/>
        <w:t>Note.</w:t>
      </w:r>
      <w:r>
        <w:t xml:space="preserve">  Time and the law have not been kind to Section 2704(b).  Courts have held that Section 2704(b) does not apply to a restriction on the withdrawal of a partner from a partnership, unless that withdrawal would cause the partnership to be liquidated.  See, </w:t>
      </w:r>
      <w:r>
        <w:rPr>
          <w:i/>
          <w:iCs/>
        </w:rPr>
        <w:t>e.g.</w:t>
      </w:r>
      <w:r>
        <w:t xml:space="preserve">, </w:t>
      </w:r>
      <w:r>
        <w:rPr>
          <w:i/>
          <w:iCs/>
        </w:rPr>
        <w:t>Kerr v. Comm'r</w:t>
      </w:r>
      <w:r>
        <w:t xml:space="preserve">, 113 T.C. 449 (1999), </w:t>
      </w:r>
      <w:r>
        <w:rPr>
          <w:i/>
          <w:iCs/>
        </w:rPr>
        <w:t>aff'd</w:t>
      </w:r>
      <w:r>
        <w:t xml:space="preserve">, 292 F.3d 490 (5th Cir. 2002); </w:t>
      </w:r>
      <w:r>
        <w:rPr>
          <w:i/>
          <w:iCs/>
        </w:rPr>
        <w:t>Church v. United States</w:t>
      </w:r>
      <w:r>
        <w:t xml:space="preserve">, 268 F.3d 1063 (5th Cir. 2001), </w:t>
      </w:r>
      <w:r>
        <w:rPr>
          <w:i/>
          <w:iCs/>
        </w:rPr>
        <w:t xml:space="preserve">aff'g per curiam </w:t>
      </w:r>
      <w:r>
        <w:t>85 A.F.T.R. 2d 2000</w:t>
      </w:r>
      <w:r>
        <w:noBreakHyphen/>
        <w:t xml:space="preserve">804, 2000 WL 206374 (W.D. Tex. 2000); </w:t>
      </w:r>
      <w:r>
        <w:rPr>
          <w:i/>
          <w:iCs/>
        </w:rPr>
        <w:t>Estate of Jones v. Comm'r</w:t>
      </w:r>
      <w:r>
        <w:t xml:space="preserve">, 116 T.C. 121 (2001); </w:t>
      </w:r>
      <w:r>
        <w:rPr>
          <w:i/>
          <w:iCs/>
        </w:rPr>
        <w:t>Knight v. Comm'r</w:t>
      </w:r>
      <w:r>
        <w:t xml:space="preserve">, 115 T.C. 506 (2000); </w:t>
      </w:r>
      <w:r>
        <w:rPr>
          <w:i/>
          <w:iCs/>
        </w:rPr>
        <w:t>Estate of Harper v. Comm'r</w:t>
      </w:r>
      <w:r>
        <w:t>, T.C. Memo. 2000</w:t>
      </w:r>
      <w:r>
        <w:noBreakHyphen/>
        <w:t>202.  This has preserved the ability of provisions that limit the withdrawal of a member or partner to preserve or increase valuation discounts.  State legislatures have modified their partnership and LLC acts to impose more stringent default rules on: (a) the liquidation of a partnership or LLC; (b) the ability of a partner or mem</w:t>
      </w:r>
      <w:r>
        <w:softHyphen/>
        <w:t>ber to withdraw from the entity; (c) the admission of a transferee of a partnership or membership interest into full participatory status as a partner or member; and (d) the withdrawal of a partner’s or member’s share of the entity’s assets.  These increasingly restrictive state default rules have largely rendered Section 2704(b) insignificant with respect to valuation discount planning, because Section 2704(b) does not apply to restrictions that are no more restrictive than those imposed by state law.  The Treasury proposals would undo much of this development and to make Section 2704(b) do more of what it was originally designed to do.</w:t>
      </w:r>
    </w:p>
    <w:p w:rsidR="00800BE7" w:rsidRDefault="00800BE7">
      <w:pPr>
        <w:widowControl/>
        <w:ind w:left="2160" w:firstLine="720"/>
        <w:jc w:val="both"/>
      </w:pPr>
      <w:r>
        <w:t>The proposal’s reliance on regulations not yet issued, however, makes it hard to know exactly what effect it would have on valuation discounts.  Certainly, marketability discounts will be reduced or eliminated for many closely-held entities, particularly those whose assets are largely cash, marketable securities, life insurance policies and other highly-liquid assets.  The Treasury could modify the disregarded restrictions to force an appraiser to value a partnership or membership interest as if the transferee partner or member had the unilateral right to withdraw from the entity and com</w:t>
      </w:r>
      <w:r>
        <w:softHyphen/>
        <w:t xml:space="preserve">pel the distribution of the value of his or her share of the entity’s assets.  FLPs and LLCs that hold illiquid tangible assets, such as real estate, might still be entitled to marketability discounts at least equal to those that would be available for a tenancy-in-common interest in the underlying assets.  </w:t>
      </w:r>
      <w:r>
        <w:lastRenderedPageBreak/>
        <w:t>The treatment of active busi</w:t>
      </w:r>
      <w:r>
        <w:softHyphen/>
        <w:t>nesses that do not hold substantial tangible assets, however, is unclear.</w:t>
      </w:r>
    </w:p>
    <w:p w:rsidR="00800BE7" w:rsidRDefault="00800BE7">
      <w:pPr>
        <w:widowControl/>
        <w:ind w:left="2160" w:firstLine="720"/>
        <w:jc w:val="both"/>
      </w:pPr>
      <w:r>
        <w:t>This proposal would also undercut the need for the more sweeping legislative proposals to limit the use of valuation dis</w:t>
      </w:r>
      <w:r>
        <w:softHyphen/>
        <w:t xml:space="preserve">counts.  See, </w:t>
      </w:r>
      <w:r>
        <w:rPr>
          <w:i/>
          <w:iCs/>
        </w:rPr>
        <w:t>e.g.</w:t>
      </w:r>
      <w:r>
        <w:t>, H.R. 1577, 109</w:t>
      </w:r>
      <w:r>
        <w:rPr>
          <w:vertAlign w:val="superscript"/>
        </w:rPr>
        <w:t>th</w:t>
      </w:r>
      <w:r>
        <w:t xml:space="preserve"> Cong., 1</w:t>
      </w:r>
      <w:r>
        <w:rPr>
          <w:vertAlign w:val="superscript"/>
        </w:rPr>
        <w:t>st</w:t>
      </w:r>
      <w:r>
        <w:t xml:space="preserve"> Sess. (2005); H.R. 436, 111</w:t>
      </w:r>
      <w:r>
        <w:rPr>
          <w:vertAlign w:val="superscript"/>
        </w:rPr>
        <w:t>th</w:t>
      </w:r>
      <w:r>
        <w:t xml:space="preserve"> Cong., 1</w:t>
      </w:r>
      <w:r>
        <w:rPr>
          <w:vertAlign w:val="superscript"/>
        </w:rPr>
        <w:t>st</w:t>
      </w:r>
      <w:r>
        <w:t xml:space="preserve"> Sess. (Jan. 9, 2009); S. 3533, 111</w:t>
      </w:r>
      <w:r>
        <w:rPr>
          <w:vertAlign w:val="superscript"/>
        </w:rPr>
        <w:t>th</w:t>
      </w:r>
      <w:r>
        <w:t xml:space="preserve"> Cong., 2</w:t>
      </w:r>
      <w:r>
        <w:rPr>
          <w:vertAlign w:val="superscript"/>
        </w:rPr>
        <w:t>nd</w:t>
      </w:r>
      <w:r>
        <w:t xml:space="preserve"> Sess. (June 23, 2010); and H.R. 5764, 111</w:t>
      </w:r>
      <w:r>
        <w:rPr>
          <w:vertAlign w:val="superscript"/>
        </w:rPr>
        <w:t>th</w:t>
      </w:r>
      <w:r>
        <w:t xml:space="preserve"> Cong., 2</w:t>
      </w:r>
      <w:r>
        <w:rPr>
          <w:vertAlign w:val="superscript"/>
        </w:rPr>
        <w:t>nd</w:t>
      </w:r>
      <w:r>
        <w:t xml:space="preserve"> Sess. (July 15, 2010).</w:t>
      </w:r>
    </w:p>
    <w:p w:rsidR="00800BE7" w:rsidRDefault="00800BE7">
      <w:pPr>
        <w:widowControl/>
        <w:ind w:left="2160" w:firstLine="720"/>
        <w:jc w:val="both"/>
      </w:pPr>
      <w:r>
        <w:t>See also analysis of the Treasury's proposal in Staff of the Joint Committee on Taxation, 111th Cong., 1st Sess., "Description of Revenue Provisions Contained in the President’s Fiscal Year 2010 Budget Proposal. Part One: Individual Income Tax and Estate and Gift Tax Provisions," at 137-145 (Committee Print) (Sept. 2009).  One point that the Joint Committee on Taxation makes is the Treasury already has enough authority to accomplish this task without further legislation.  Section 2704(b)(4) authorizes the Treasury to issue regulations that</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right="720"/>
        <w:jc w:val="both"/>
      </w:pPr>
      <w:r>
        <w:lastRenderedPageBreak/>
        <w:t>provide that other restrictions shall be disregarded in determining the value of the transfer of any interest in a corporation or partnership to a member of the trans</w:t>
      </w:r>
      <w:r>
        <w:softHyphen/>
        <w:t>feror's family if such restriction has the effect of reduc</w:t>
      </w:r>
      <w:r>
        <w:softHyphen/>
        <w:t>ing the value of the transferred interest for purposes of this subtitle but does not ultimately reduce the value of such interest to the transferee.</w:t>
      </w:r>
    </w:p>
    <w:p w:rsidR="00800BE7" w:rsidRDefault="00800BE7">
      <w:pPr>
        <w:widowControl/>
        <w:jc w:val="both"/>
      </w:pPr>
    </w:p>
    <w:p w:rsidR="00800BE7" w:rsidRDefault="00800BE7">
      <w:pPr>
        <w:widowControl/>
        <w:ind w:left="2160"/>
        <w:jc w:val="both"/>
      </w:pPr>
      <w:r>
        <w:t xml:space="preserve">The Tax Court in </w:t>
      </w:r>
      <w:r>
        <w:rPr>
          <w:i/>
          <w:iCs/>
        </w:rPr>
        <w:t>Kerr</w:t>
      </w:r>
      <w:r>
        <w:t xml:space="preserve"> stated that it was “mindful that the Secretary has been vested with broad regulatory authority under section 2704(b)(4),” but concluded that the current regulations did not support the IRS’s position in the case.  113 T.C. 449, at 474 (1999).  The Joint Committee on Taxation also notes that the IRS and Treasury business plan for 2008-2009 describes “a plan to issue guidance under § 2704 regarding restrictions on the liquidation of an interest in a corporation or partnership.”</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Misadministration of Partnership Results in Inclusion of Underly</w:t>
      </w:r>
      <w:r w:rsidR="00800BE7">
        <w:rPr>
          <w:b/>
          <w:bCs/>
        </w:rPr>
        <w:softHyphen/>
        <w:t>ing Assets in Donor’s Gross Estate.</w:t>
      </w:r>
      <w:r w:rsidR="00800BE7">
        <w:rPr>
          <w:b/>
          <w:bCs/>
          <w:i/>
          <w:iCs/>
        </w:rPr>
        <w:t xml:space="preserve">  Estate of Jorgen</w:t>
      </w:r>
      <w:r w:rsidR="00800BE7">
        <w:rPr>
          <w:b/>
          <w:bCs/>
          <w:i/>
          <w:iCs/>
        </w:rPr>
        <w:softHyphen/>
        <w:t>sen v. Comm’r</w:t>
      </w:r>
      <w:r w:rsidR="00800BE7">
        <w:rPr>
          <w:b/>
          <w:bCs/>
        </w:rPr>
        <w:t>, 2011 WL 1666930, 107 A.F.T.R.2d 2011</w:t>
      </w:r>
      <w:r w:rsidR="00800BE7">
        <w:rPr>
          <w:b/>
          <w:bCs/>
        </w:rPr>
        <w:noBreakHyphen/>
        <w:t>2069 (9</w:t>
      </w:r>
      <w:r w:rsidR="00800BE7">
        <w:rPr>
          <w:b/>
          <w:bCs/>
          <w:vertAlign w:val="superscript"/>
        </w:rPr>
        <w:t>th</w:t>
      </w:r>
      <w:r w:rsidR="00800BE7">
        <w:rPr>
          <w:b/>
          <w:bCs/>
        </w:rPr>
        <w:t xml:space="preserve"> Cir. May 4, 2011) (slip copy), </w:t>
      </w:r>
      <w:r w:rsidR="00800BE7">
        <w:rPr>
          <w:b/>
          <w:bCs/>
          <w:i/>
          <w:iCs/>
        </w:rPr>
        <w:t>aff’g by unpub’d op.</w:t>
      </w:r>
      <w:r w:rsidR="00800BE7">
        <w:rPr>
          <w:b/>
          <w:bCs/>
        </w:rPr>
        <w:t xml:space="preserve"> T.C. Memo. 2009-66; </w:t>
      </w:r>
      <w:r w:rsidR="00800BE7">
        <w:rPr>
          <w:b/>
          <w:bCs/>
          <w:i/>
          <w:iCs/>
        </w:rPr>
        <w:t>Estate of Turner v. Comm’r</w:t>
      </w:r>
      <w:r w:rsidR="00800BE7">
        <w:rPr>
          <w:b/>
          <w:bCs/>
        </w:rPr>
        <w:t>, T.C. Memo. 2011</w:t>
      </w:r>
      <w:r w:rsidR="00800BE7">
        <w:rPr>
          <w:b/>
          <w:bCs/>
        </w:rPr>
        <w:noBreakHyphen/>
        <w:t>209 (Aug.  30, 2011)</w:t>
      </w:r>
      <w:r>
        <w:fldChar w:fldCharType="begin"/>
      </w:r>
      <w:r w:rsidR="00800BE7">
        <w:instrText>tc \l3 "</w:instrText>
      </w:r>
      <w:r w:rsidR="00800BE7">
        <w:rPr>
          <w:b/>
          <w:bCs/>
        </w:rPr>
        <w:instrText>Field result goes here</w:instrText>
      </w:r>
      <w:r w:rsidR="00800BE7">
        <w:rPr>
          <w:b/>
          <w:bCs/>
        </w:rPr>
        <w:tab/>
        <w:instrText>Misadministration of Partnership Results in Inclusion of Underly</w:instrText>
      </w:r>
      <w:r w:rsidR="00800BE7">
        <w:rPr>
          <w:b/>
          <w:bCs/>
        </w:rPr>
        <w:softHyphen/>
        <w:instrText>ing Assets in Donor’s Gross Estate.</w:instrText>
      </w:r>
      <w:r w:rsidR="00800BE7">
        <w:rPr>
          <w:b/>
          <w:bCs/>
          <w:i/>
          <w:iCs/>
        </w:rPr>
        <w:instrText xml:space="preserve">  Estate of Jorgen</w:instrText>
      </w:r>
      <w:r w:rsidR="00800BE7">
        <w:rPr>
          <w:b/>
          <w:bCs/>
          <w:i/>
          <w:iCs/>
        </w:rPr>
        <w:softHyphen/>
        <w:instrText>sen v. Comm’r</w:instrText>
      </w:r>
      <w:r w:rsidR="00800BE7">
        <w:rPr>
          <w:b/>
          <w:bCs/>
        </w:rPr>
        <w:instrText>, 2011 WL 1666930, 107 A.F.T.R.2d 2011</w:instrText>
      </w:r>
      <w:r w:rsidR="00800BE7">
        <w:rPr>
          <w:b/>
          <w:bCs/>
        </w:rPr>
        <w:noBreakHyphen/>
        <w:instrText>2069 (9</w:instrText>
      </w:r>
      <w:r w:rsidR="00800BE7">
        <w:rPr>
          <w:b/>
          <w:bCs/>
          <w:vertAlign w:val="superscript"/>
        </w:rPr>
        <w:instrText>th</w:instrText>
      </w:r>
      <w:r w:rsidR="00800BE7">
        <w:rPr>
          <w:b/>
          <w:bCs/>
        </w:rPr>
        <w:instrText xml:space="preserve"> Cir. May 4, 2011) (slip copy), </w:instrText>
      </w:r>
      <w:r w:rsidR="00800BE7">
        <w:rPr>
          <w:b/>
          <w:bCs/>
          <w:i/>
          <w:iCs/>
        </w:rPr>
        <w:instrText>aff’g by unpub’d op.</w:instrText>
      </w:r>
      <w:r w:rsidR="00800BE7">
        <w:rPr>
          <w:b/>
          <w:bCs/>
        </w:rPr>
        <w:instrText xml:space="preserve"> T.C. Memo. 2009-66; </w:instrText>
      </w:r>
      <w:r w:rsidR="00800BE7">
        <w:rPr>
          <w:b/>
          <w:bCs/>
          <w:i/>
          <w:iCs/>
        </w:rPr>
        <w:instrText>Estate of Turner v. Comm’r</w:instrText>
      </w:r>
      <w:r w:rsidR="00800BE7">
        <w:rPr>
          <w:b/>
          <w:bCs/>
        </w:rPr>
        <w:instrText>, T.C. Memo. 2011</w:instrText>
      </w:r>
      <w:r w:rsidR="00800BE7">
        <w:rPr>
          <w:b/>
          <w:bCs/>
        </w:rPr>
        <w:noBreakHyphen/>
        <w:instrText>209 (Aug.  30, 2011)</w:instrText>
      </w:r>
      <w:r>
        <w:fldChar w:fldCharType="end"/>
      </w:r>
    </w:p>
    <w:p w:rsidR="00800BE7" w:rsidRDefault="00800BE7">
      <w:pPr>
        <w:keepNext/>
        <w:keepLines/>
        <w:widowControl/>
        <w:jc w:val="both"/>
      </w:pPr>
    </w:p>
    <w:p w:rsidR="00800BE7" w:rsidRDefault="00800BE7">
      <w:pPr>
        <w:keepLines/>
        <w:widowControl/>
        <w:tabs>
          <w:tab w:val="left" w:pos="-1440"/>
        </w:tabs>
        <w:ind w:left="2880" w:hanging="720"/>
        <w:jc w:val="both"/>
      </w:pPr>
      <w:r>
        <w:rPr>
          <w:b/>
          <w:bCs/>
        </w:rPr>
        <w:t>·</w:t>
      </w:r>
      <w:r>
        <w:rPr>
          <w:b/>
          <w:bCs/>
        </w:rPr>
        <w:tab/>
      </w:r>
      <w:r>
        <w:rPr>
          <w:b/>
          <w:bCs/>
          <w:i/>
          <w:iCs/>
        </w:rPr>
        <w:t>Jorgensen</w:t>
      </w:r>
      <w:r>
        <w:rPr>
          <w:b/>
          <w:bCs/>
        </w:rPr>
        <w:t>.</w:t>
      </w:r>
      <w:r>
        <w:t xml:space="preserve">  Col. and Ms. Jorgensen created the Jorgensen Management Association (JMA-1), a Virginia limited partner</w:t>
      </w:r>
      <w:r>
        <w:softHyphen/>
        <w:t>ship, each contributing an equal amount of marketable securi</w:t>
      </w:r>
      <w:r>
        <w:softHyphen/>
        <w:t>ties, in exchange for 50% limited partnership interests.  They named Col. Jorgensen, their son and their daughter as the general partners, but the children never made contributions to the partnership.  Col. and Ms. Jorgensen also gave substantial limited partnership interests to their grandchildren.  Col. Jorgen</w:t>
      </w:r>
      <w:r>
        <w:softHyphen/>
        <w:t>sen several years before his wife, and after his death, she created a second partnership (JMA-2), again giving general and limited partnership interests to her children and limited partnership interests to her grandchildren.  Low-basis assets were held in JMA-1 and high-basis assets held in JMA-2.  The IRS contended that the value of the partnership assets were includible in Ms. Jorgen</w:t>
      </w:r>
      <w:r>
        <w:softHyphen/>
        <w:t>sen’s gross estate, under Section 2036(a)(1).</w:t>
      </w:r>
    </w:p>
    <w:p w:rsidR="00800BE7" w:rsidRDefault="00800BE7">
      <w:pPr>
        <w:keepLines/>
        <w:widowControl/>
        <w:tabs>
          <w:tab w:val="left" w:pos="-1440"/>
        </w:tabs>
        <w:ind w:left="2880" w:hanging="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The Tax Court (Judge Haines) held that the value of the underlying partnership assets contributed by Ms. Jorgensen to the two partnerships should be included in her gross estate under Section 2036(a).  The court held that the transfer to the partnerships was not a bona fide sale for adequate and full consideration; because there was no “legitimate and significant nontax reason for creating the family limited partnership.”  The court noted that the partnerships were not designed: (i) to help Ms. Jorgensen manage her assets, because her revocable trust and power of attorney already served that function; (ii) to provide a financial education to the two children, noting that Col. Jorgensen had never attempted to teach his children about investments and their management activities were few; (iii) to encourage family unity, noting that the different relation</w:t>
      </w:r>
      <w:r>
        <w:softHyphen/>
        <w:t>ship each child had with money made placing them together as general partners “as likely to cause family disunity as unity”; (iv) to perpetuate the Jorgen</w:t>
      </w:r>
      <w:r>
        <w:softHyphen/>
        <w:t xml:space="preserve">sens’ buy-and-hold investment philosophy, because “[t]here are no special skills to be taught when adhering to a ‘buy and hold’ strategy, especially when one pays an investment adviser to recommend what to buy and when to sell”; (v) pool assets, because the assets had been managed together before the partnerships were created </w:t>
      </w:r>
      <w:r>
        <w:lastRenderedPageBreak/>
        <w:t>and the children and grandchildren did not contribute to the partnerships; (vi) to protect assets against the claims of the creditors of the children and grandchil</w:t>
      </w:r>
      <w:r>
        <w:softHyphen/>
        <w:t>dren, because the son, who was admittedly a spendthrift, was designated as a general partner and because there was no evidence of actual creditor issues.  The court also cited the failure of the parties to follow partnership formalities (neither partnership maintained books and records other than a checkbook that went unreconciled and monthly brokerage statements; there were no formal meetings between or among the partners; no minutes were ever kept; and Ms. Jorgensen used partnership assets to pay personal expenses and paid partnership expenses with her personal assets.)  Ms. Jorgen</w:t>
      </w:r>
      <w:r>
        <w:softHyphen/>
        <w:t>sen was not financially depend</w:t>
      </w:r>
      <w:r>
        <w:softHyphen/>
        <w:t>ent on distributions from the partnerships for her day</w:t>
      </w:r>
      <w:r>
        <w:noBreakHyphen/>
        <w:t>to</w:t>
      </w:r>
      <w:r>
        <w:noBreakHyphen/>
        <w:t>day expenses, but she was dependent on the partnerships to satisfy her gift</w:t>
      </w:r>
      <w:r>
        <w:noBreakHyphen/>
        <w:t>giving program.  Furthermore, the court noted, JMA</w:t>
      </w:r>
      <w:r>
        <w:noBreakHyphen/>
        <w:t>II lent $125,000 to the son, on which loan he did not regularly pay interest or principal.  The court also noted that Col. Jorgensen formed the partnerships without input from his wife and children.  The court also held that Ms. Jorgensen retained the beneficial enjoyment of the partnership assets, noting that (i) Ms. Jorgen</w:t>
      </w:r>
      <w:r>
        <w:softHyphen/>
        <w:t>sen retained sufficient assets outside the partnership for her day</w:t>
      </w:r>
      <w:r>
        <w:noBreakHyphen/>
        <w:t>to</w:t>
      </w:r>
      <w:r>
        <w:noBreakHyphen/>
        <w:t>day expenses, but not enough to make the gifts she wished to make; and (ii) partner</w:t>
      </w:r>
      <w:r>
        <w:softHyphen/>
        <w:t>ship distributions were used to pay transfer taxes, legal fees, and other obligations of the decedent’s estate.</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 xml:space="preserve">The Ninth Circuit (Judges Reinhardt, Hawkins and Gould) affirmed.  On appeal, the estate conceded that the decedent retained some benefits in the transferred property, because of her having written checks on partnership accounts to pay some personal expenses and having made some family gifts of partnership assets, but it argued that these were </w:t>
      </w:r>
      <w:r>
        <w:rPr>
          <w:i/>
          <w:iCs/>
        </w:rPr>
        <w:t xml:space="preserve">de minimis </w:t>
      </w:r>
      <w:r>
        <w:t xml:space="preserve">or that the application of Section 2036(a) should be limited to the actual amount accessed by decedent.  The court held that writing over $90,000 in checks on the partnership accounts and using partnership assets to pay over $200,000 of personal estate taxes was not </w:t>
      </w:r>
      <w:r>
        <w:rPr>
          <w:i/>
          <w:iCs/>
        </w:rPr>
        <w:t>de minimis</w:t>
      </w:r>
      <w:r>
        <w:t xml:space="preserve">.  Citing </w:t>
      </w:r>
      <w:r>
        <w:rPr>
          <w:i/>
          <w:iCs/>
        </w:rPr>
        <w:t>Strangi v. Comm'r</w:t>
      </w:r>
      <w:r>
        <w:t xml:space="preserve">, 417 F.3d 468, 477 (5th Cir. 2005) (post-death payment of funeral expenses and debts from partnership funds indicative of implicit agreement that transferor would retain enjoyment of property); </w:t>
      </w:r>
      <w:r>
        <w:rPr>
          <w:i/>
          <w:iCs/>
        </w:rPr>
        <w:t>Bigelow v. Comm’r</w:t>
      </w:r>
      <w:r>
        <w:t>, 503 F.3d 955, 966 (9</w:t>
      </w:r>
      <w:r>
        <w:rPr>
          <w:vertAlign w:val="superscript"/>
        </w:rPr>
        <w:t>th</w:t>
      </w:r>
      <w:r>
        <w:t xml:space="preserve"> Cir. 2007) (noting payment of funeral expenses by partner</w:t>
      </w:r>
      <w:r>
        <w:softHyphen/>
        <w:t xml:space="preserve">ship as supporting reasonable inference decedent had implied agreement she could access funds as needed).  The court also held that the Tax Court did not err by concluding there was an </w:t>
      </w:r>
      <w:r>
        <w:lastRenderedPageBreak/>
        <w:t>implied agree</w:t>
      </w:r>
      <w:r>
        <w:softHyphen/>
        <w:t xml:space="preserve">ment decedent could have accessed any amount of the purportedly transferred assets to the extent she desired them. The actual amount of checks written for decedent's benefit does not undermine the court's finding that she could have accessed more, it was only used to buttress the court's conclusion that decedent had such access to the funds if needed.  Furthermore, the court agreed that the tax court did not clearly err by concluding decedent's transfer was not a </w:t>
      </w:r>
      <w:r>
        <w:rPr>
          <w:i/>
          <w:iCs/>
        </w:rPr>
        <w:t xml:space="preserve">bona fide </w:t>
      </w:r>
      <w:r>
        <w:t xml:space="preserve">sale for adequate and full consideration, because transfers to family partnerships are subject to heightened scrutiny, and, to be </w:t>
      </w:r>
      <w:r>
        <w:rPr>
          <w:i/>
          <w:iCs/>
        </w:rPr>
        <w:t>bona fide</w:t>
      </w:r>
      <w:r>
        <w:t>, must objectively demonstrate a legitimate and significant nontax reason for the transfers. In this case, the assets transferred were marketable securities which did not require significant or active management, there was some disregard of partnership formalities, and the nontax justifications were either weak or refuted by the record (includ</w:t>
      </w:r>
      <w:r>
        <w:softHyphen/>
        <w:t>ing formation of a second family partnership to hold higher</w:t>
      </w:r>
      <w:r>
        <w:noBreakHyphen/>
        <w:t xml:space="preserve"> basis assets for gift</w:t>
      </w:r>
      <w:r>
        <w:noBreakHyphen/>
        <w:t>giving purposes, purportedly for the same nontax justifications that the original partnership could have already served).</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r>
      <w:r>
        <w:rPr>
          <w:b/>
          <w:bCs/>
          <w:i/>
          <w:iCs/>
        </w:rPr>
        <w:t>Estate of Turner</w:t>
      </w:r>
      <w:r>
        <w:rPr>
          <w:b/>
          <w:bCs/>
        </w:rPr>
        <w:t>.</w:t>
      </w:r>
      <w:r>
        <w:t xml:space="preserve">  Clyde W. Turner, Sr. and his wife, Jewell, each transferred $4,333,671 in cash, certificates of deposit, and publicly-traded securities, to Turner &amp; Co., a family limited partnership they had created.  Each donor received a 0.5-percent general partnership interests and a 49.5 percent limited partnership interest.  The donors retained adequate assets outside of the partnership to support themselves comfortably.  Over a two-day period less than five weeks before Clyde, Sr.’s death, Clyde, Sr. and Jewell gave limited partnership interests to their children, a trust for one of their children, and their grandchildren by a deceased child.  Clyde, Sr. died and the IRS argued that the undiscounted value of 50 percent of the partnership assets should be included in his gross estate.</w:t>
      </w:r>
    </w:p>
    <w:p w:rsidR="00800BE7" w:rsidRDefault="00800BE7">
      <w:pPr>
        <w:widowControl/>
        <w:tabs>
          <w:tab w:val="left" w:pos="-1440"/>
        </w:tabs>
        <w:ind w:left="2880" w:hanging="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 xml:space="preserve">The Tax Court (Judge Marvel) held for the government, under both Sections 2036(a)(1) and 2036(a)(2).  The court noted that Section 2036(a) does not apply if the decedent’s transfer was a </w:t>
      </w:r>
      <w:r>
        <w:rPr>
          <w:i/>
          <w:iCs/>
        </w:rPr>
        <w:t>bona fide</w:t>
      </w:r>
      <w:r>
        <w:t xml:space="preserve"> sale for adequate and full consider</w:t>
      </w:r>
      <w:r>
        <w:softHyphen/>
        <w:t xml:space="preserve">ation.  In the context of a family limited partnership the </w:t>
      </w:r>
      <w:r>
        <w:rPr>
          <w:i/>
          <w:iCs/>
        </w:rPr>
        <w:t>bona fide</w:t>
      </w:r>
      <w:r>
        <w:t xml:space="preserve"> sale exception is met if there was a legitimate and signifi</w:t>
      </w:r>
      <w:r>
        <w:softHyphen/>
        <w:t xml:space="preserve">cant nontax reason for creating the partnership and if the transferors received partnership interests proportionate to the value of the property transferred.  </w:t>
      </w:r>
      <w:r>
        <w:rPr>
          <w:i/>
          <w:iCs/>
        </w:rPr>
        <w:t xml:space="preserve">Estate of Bongard v. </w:t>
      </w:r>
      <w:r>
        <w:rPr>
          <w:i/>
          <w:iCs/>
        </w:rPr>
        <w:lastRenderedPageBreak/>
        <w:t>Comm’r</w:t>
      </w:r>
      <w:r>
        <w:t>, 124 T.C. 95 (2005).  The court held that the partner</w:t>
      </w:r>
      <w:r>
        <w:softHyphen/>
        <w:t>ship was not created for a significant nontax reason.  The court stated that the partnership was not formed to consolidate assets for management purposes and allow someone other than the donors or their children to maintain and manage the family's assets for future growth pursuant to more active and formal investment management strategy.  The court stated that consolidated asset management may be a legitimate and significant nontax purpose, but it is not generally a significant nontax purpose only where the assets require active manage</w:t>
      </w:r>
      <w:r>
        <w:softHyphen/>
        <w:t xml:space="preserve">ment.  </w:t>
      </w:r>
      <w:r>
        <w:rPr>
          <w:i/>
          <w:iCs/>
        </w:rPr>
        <w:t>Estate of Schutt v. Comm’r</w:t>
      </w:r>
      <w:r>
        <w:t>, T.C. Memo. 2005</w:t>
      </w:r>
      <w:r>
        <w:noBreakHyphen/>
        <w:t xml:space="preserve">126; </w:t>
      </w:r>
      <w:r>
        <w:rPr>
          <w:i/>
          <w:iCs/>
        </w:rPr>
        <w:t>Estate of Black v. Comm’r</w:t>
      </w:r>
      <w:r>
        <w:t xml:space="preserve">, 133 T.C. 340, 371 (2009); </w:t>
      </w:r>
      <w:r>
        <w:rPr>
          <w:i/>
          <w:iCs/>
        </w:rPr>
        <w:t>Estate of Erickson v. Comm’r</w:t>
      </w:r>
      <w:r>
        <w:t>, T.C. Memo. 2007</w:t>
      </w:r>
      <w:r>
        <w:noBreakHyphen/>
        <w:t xml:space="preserve">107; </w:t>
      </w:r>
      <w:r>
        <w:rPr>
          <w:i/>
          <w:iCs/>
        </w:rPr>
        <w:t>Estate of Harper v. Comm’r</w:t>
      </w:r>
      <w:r>
        <w:t>, T.C. Memo. 2002-121.  There were no active business assets in this partnership, and Clyde Sr. had no unique or distinct investment philosophy that he hoped to perpetuate. (Clyde, Sr. actually testified that his lack of a coherent investment plan was one of the primary reasons for forming the partnership.)  The court also held that the partner</w:t>
      </w:r>
      <w:r>
        <w:softHyphen/>
        <w:t>ship was not formed to facilitate resolution of family disputes through equal sharing of information, which may be a legiti</w:t>
      </w:r>
      <w:r>
        <w:softHyphen/>
        <w:t xml:space="preserve">mate and significant nontax reason for creating a family partnership.  </w:t>
      </w:r>
      <w:r>
        <w:rPr>
          <w:i/>
          <w:iCs/>
        </w:rPr>
        <w:t>Estate of Mirowski v. Comm’r</w:t>
      </w:r>
      <w:r>
        <w:t>, T.C. Memo. 2008</w:t>
      </w:r>
      <w:r>
        <w:noBreakHyphen/>
        <w:t xml:space="preserve">74; </w:t>
      </w:r>
      <w:r>
        <w:rPr>
          <w:i/>
          <w:iCs/>
        </w:rPr>
        <w:t>Estate of Stone v. Comm’r</w:t>
      </w:r>
      <w:r>
        <w:t xml:space="preserve">, T.C. Memo. 2003-309.  Here, the ill will among the Turner children was not about money, per se, and there was no evidence that the children ever expressed a particular interest in managing their parents' assets.  The bad feelings among the children stemmed from the fact that Clyde, Jr. had a domineering personality and an unpleasant attitude toward his sisters and their husbands.  The court nextr held that the partnership was not formed to protect the family assets and Jewell from one of her grandsons, Rory, who had a serious drug problem and had been arrested several times, and to protect Rory from himself, though asset protection may be a legitimate and significant nontax reason for forming a family partnership.  See, </w:t>
      </w:r>
      <w:r>
        <w:rPr>
          <w:i/>
          <w:iCs/>
        </w:rPr>
        <w:t>e.g., Schurtz v. Comm’r</w:t>
      </w:r>
      <w:r>
        <w:t>, T.C. Memo. 2010</w:t>
      </w:r>
      <w:r>
        <w:noBreakHyphen/>
        <w:t>21.  Here, the court found the estate’s argument not to be credible, because Jewell had a close relationship with Rory, and she gave him money from time to time, and there was no proof that she wanted or needed protection from Rory.  Also, the partnership did not actually protect Jewell from Rory, because Clyde, Sr. and Jewell retained significant assets outside the partnership that Jewell could still give to Rory.  The court also noted that the partner</w:t>
      </w:r>
      <w:r>
        <w:softHyphen/>
        <w:t xml:space="preserve">ship did not protect Rory from himself, because Rory had no </w:t>
      </w:r>
      <w:r>
        <w:lastRenderedPageBreak/>
        <w:t xml:space="preserve">assets before the gifts of partnership interests, and the trust created to hold Rory’s partnership interests provided adequate protection.  The court also stated that several additional factors indicated that the transfers to the partnership were not </w:t>
      </w:r>
      <w:r>
        <w:rPr>
          <w:i/>
          <w:iCs/>
        </w:rPr>
        <w:t xml:space="preserve">bona fide </w:t>
      </w:r>
      <w:r>
        <w:t xml:space="preserve">sales, including (a) the fact that Clyde Sr. stood on both sides of the transaction, creating the partnership with no meaningful bargaining or negotiation with Jewell or with any of the other anticipated limited partners; (b) Clyde Sr. used partnership funds to make personal gifts, to pay premiums on life insurance policies, and to pay legal fees relating to his and Jewell's estate planning; and (c) Clyde Sr. and Jewell did not complete the transfer of assets to the partnership for at least 8 months after formation of the partnership. </w:t>
      </w:r>
    </w:p>
    <w:p w:rsidR="00800BE7" w:rsidRDefault="00800BE7">
      <w:pPr>
        <w:widowControl/>
        <w:ind w:left="288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880" w:firstLine="720"/>
        <w:jc w:val="both"/>
      </w:pPr>
      <w:r>
        <w:lastRenderedPageBreak/>
        <w:t xml:space="preserve">The court then held that Clyde, Sr. had an implied agreement to retain possession or enjoyment of the transferred assets, based on the continued use of the partnership assets for personal purposes.  See </w:t>
      </w:r>
      <w:r>
        <w:rPr>
          <w:i/>
          <w:iCs/>
        </w:rPr>
        <w:t>Estate of Gore v. Comm’r</w:t>
      </w:r>
      <w:r>
        <w:t>, T.C. Memo. 2007</w:t>
      </w:r>
      <w:r>
        <w:noBreakHyphen/>
        <w:t xml:space="preserve">169; </w:t>
      </w:r>
      <w:r>
        <w:rPr>
          <w:i/>
          <w:iCs/>
        </w:rPr>
        <w:t>Estate of Erickson v. Comm’r</w:t>
      </w:r>
      <w:r>
        <w:t>, T.C. Memo. 2007-107.  The court also noted that the partnership agree</w:t>
      </w:r>
      <w:r>
        <w:softHyphen/>
        <w:t>ment expressly provided for paying the general partner a “reasonable” management fee, and Clyde Sr. and/or Jewell chose to receive a $2,000 per month without any apparent regard for the nature and scope of their actual management duties.  The record did not show that this was a reasonable fee, or even what the general partners did for the fee.  Jewell did not manage the partnership and it was unclear whether Clyde, Sr. managed it.  This made the partnership resemble an investment account from which withdrawals could be made at will, rather than a true investment medium.  The court stated that this “impression is reenforced by a provision in the partnership agreement that gave Clyde Sr. the right, as general partner, to amend the partnership agreement at any time without the consent of the limited partners.”  The court also noted that (i) Clyde Sr. transferred most of his assets to the partnership; (ii) although the general partners retained suffi</w:t>
      </w:r>
      <w:r>
        <w:softHyphen/>
        <w:t xml:space="preserve">cient assets outside of the partnership to meet their living expenses, they opted to receive management fees for few or no management services and took distributions from the partnership at will; (iii) the transferors used the partnership assets to make personal gifts, pay life insurance premiums, and pay legal fees related to their estate planning.  Clyde, Sr. also commingled personal and partnership funds when he personally paid the partnership’s debt to a bank, bought certain property on behalf of the partnership, and reimbursed the partnership for its purchase of certain notes.  Clyde Sr. also </w:t>
      </w:r>
      <w:r>
        <w:lastRenderedPageBreak/>
        <w:t>received disproportionate distributions from the partnership.  Most importantly, the court stated, the partnership appeared to be created for primarily testamentary purposes.  Clyde, Sr. stated that the entity was created because he and his wife were not “getting any younger,” it was part of their estate planning, and it was designed to provide income for future generations.  The court also noted Clyde Sr.’s personal and sentimental attachment to certain bank stock, and the fact that he had made it very clear that it was never to be sold, which the court interpreted as an implied agreement to retain benefi</w:t>
      </w:r>
      <w:r>
        <w:softHyphen/>
        <w:t>cial enjoyment of the stock.</w:t>
      </w:r>
    </w:p>
    <w:p w:rsidR="00800BE7" w:rsidRDefault="00800BE7">
      <w:pPr>
        <w:widowControl/>
        <w:ind w:left="2880" w:firstLine="720"/>
        <w:jc w:val="both"/>
      </w:pPr>
      <w:r>
        <w:t xml:space="preserve">The court also held that the assets were properly includible in the decedent’s gross estate under Section 2036(a)(2), because he had the right to control the beneficial enjoyment of the partnership assets.  The court recognized that a transferor's retention of the right to manage transferred assets does not necessarily require inclusion under section 2036(a)(2).  </w:t>
      </w:r>
      <w:r>
        <w:rPr>
          <w:i/>
          <w:iCs/>
        </w:rPr>
        <w:t>United States v. Byrum</w:t>
      </w:r>
      <w:r>
        <w:t xml:space="preserve">, 408 U.S. 125 (1972); </w:t>
      </w:r>
      <w:r>
        <w:rPr>
          <w:i/>
          <w:iCs/>
        </w:rPr>
        <w:t>Estate of Schutt v. Comm’r</w:t>
      </w:r>
      <w:r>
        <w:t>, T.C. Memo. 2005</w:t>
      </w:r>
      <w:r>
        <w:noBreakHyphen/>
        <w:t>126.  Clyde Sr. was, for all intents and purposes, the sole general partner and the partnership agreement gave him broad authority not only to manage partnership property, but also to amend the partnership agreement at any time without the consent of the limited partners.  This gave him the sole and absolute discre</w:t>
      </w:r>
      <w:r>
        <w:softHyphen/>
        <w:t>tion to make pro rata distributions of partnership income and to make distributions in kind.</w:t>
      </w:r>
    </w:p>
    <w:p w:rsidR="00800BE7" w:rsidRDefault="00800BE7">
      <w:pPr>
        <w:widowControl/>
        <w:ind w:left="2880" w:firstLine="720"/>
        <w:jc w:val="both"/>
      </w:pPr>
      <w:r>
        <w:rPr>
          <w:b/>
          <w:bCs/>
        </w:rPr>
        <w:t>Note</w:t>
      </w:r>
      <w:r>
        <w:t>.  See also discussion of gift tax annual exclusion issue, below.</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Ninth Circuit Rejects Step Transaction Aspects of Gift on Formation of a Family Limited Liability, But Agrees with Fact-Based Analysis.  </w:t>
      </w:r>
      <w:r w:rsidR="00800BE7">
        <w:rPr>
          <w:b/>
          <w:bCs/>
          <w:i/>
          <w:iCs/>
        </w:rPr>
        <w:t>Linton v. United States</w:t>
      </w:r>
      <w:r w:rsidR="00800BE7">
        <w:rPr>
          <w:b/>
          <w:bCs/>
        </w:rPr>
        <w:t>, 630 F.3d 1211 (9</w:t>
      </w:r>
      <w:r w:rsidR="00800BE7">
        <w:rPr>
          <w:b/>
          <w:bCs/>
          <w:vertAlign w:val="superscript"/>
        </w:rPr>
        <w:t>th</w:t>
      </w:r>
      <w:r w:rsidR="00800BE7">
        <w:rPr>
          <w:b/>
          <w:bCs/>
        </w:rPr>
        <w:t xml:space="preserve"> Cir. Jan. 21, 2011), </w:t>
      </w:r>
      <w:r w:rsidR="00800BE7">
        <w:rPr>
          <w:b/>
          <w:bCs/>
          <w:i/>
          <w:iCs/>
        </w:rPr>
        <w:t xml:space="preserve">aff’g in part, rev’g in part </w:t>
      </w:r>
      <w:r w:rsidR="00800BE7">
        <w:rPr>
          <w:b/>
          <w:bCs/>
        </w:rPr>
        <w:t>638 F.Supp.2d 1277 (W.D. Wash. 2009)</w:t>
      </w:r>
      <w:r>
        <w:rPr>
          <w:b/>
          <w:bCs/>
        </w:rPr>
        <w:fldChar w:fldCharType="begin"/>
      </w:r>
      <w:r w:rsidR="00800BE7">
        <w:rPr>
          <w:b/>
          <w:bCs/>
        </w:rPr>
        <w:instrText>tc \l3 "Field result goes here</w:instrText>
      </w:r>
      <w:r w:rsidR="00800BE7">
        <w:rPr>
          <w:b/>
          <w:bCs/>
        </w:rPr>
        <w:tab/>
        <w:instrText xml:space="preserve">Ninth Circuit Rejects Step Transaction Aspects of Gift on Formation of a Family Limited Liability, But Agrees with Fact-Based Analysis.  </w:instrText>
      </w:r>
      <w:r w:rsidR="00800BE7">
        <w:rPr>
          <w:b/>
          <w:bCs/>
          <w:i/>
          <w:iCs/>
        </w:rPr>
        <w:instrText>Linton v. United States</w:instrText>
      </w:r>
      <w:r w:rsidR="00800BE7">
        <w:rPr>
          <w:b/>
          <w:bCs/>
        </w:rPr>
        <w:instrText>, 630 F.3d 1211 (9</w:instrText>
      </w:r>
      <w:r w:rsidR="00800BE7">
        <w:rPr>
          <w:b/>
          <w:bCs/>
          <w:vertAlign w:val="superscript"/>
        </w:rPr>
        <w:instrText>th</w:instrText>
      </w:r>
      <w:r w:rsidR="00800BE7">
        <w:rPr>
          <w:b/>
          <w:bCs/>
        </w:rPr>
        <w:instrText xml:space="preserve"> Cir. Jan. 21, 2011), </w:instrText>
      </w:r>
      <w:r w:rsidR="00800BE7">
        <w:rPr>
          <w:b/>
          <w:bCs/>
          <w:i/>
          <w:iCs/>
        </w:rPr>
        <w:instrText xml:space="preserve">aff’g in part, rev’g in part </w:instrText>
      </w:r>
      <w:r w:rsidR="00800BE7">
        <w:rPr>
          <w:b/>
          <w:bCs/>
        </w:rPr>
        <w:instrText>638 F.Supp.2d 1277 (W.D. Wash. 2009)</w:instrText>
      </w:r>
      <w:r>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In November, 2002, William and Stacy, a married couple, formed WLFB Investments, a Washington state LLC, and issued all of the membership interests to William.  On January 22, 2003, William gave one-half of the membership interests to Stacy, and also executed (a) quit claim deed conveying a parcel of his separate property real estate to the LLC, effective on the date of the deed; (b) an assignment of assets signed by William as assignor and William and Stacey as assignees on behalf of the LLC; and (c) letters signed by William authorizing the transfer of securities and cash to the LLC. One brokerage apparently received William's letter on Jan</w:t>
      </w:r>
      <w:r>
        <w:softHyphen/>
        <w:t>uary 24 and made the transfers between January 24 and 31, 2003, and another appears to have made the transfers between January 24 and 29, 2003.  At the same meeting in the office of William and Stacy’s attorney, the couple signed but left undated documents (i) creating an irrevocable trust for each of their four children, and (ii) assigning an 11.25% LLC interests to each trust.  Several months later, the couple’s attorney filled in the dates of the transfer documents as January 22, 2003, though he, William, and the couple’s accountant all stated that the date that was supposed to have been inserted was January 31, 2003.  William's and Stacy's 2003 federal gift tax returns, prepared by their attorney, stated that gifts of LLC interests were made on January 31, 2003.  The LLC’s “Mem</w:t>
      </w:r>
      <w:r>
        <w:softHyphen/>
        <w:t>bership Interest Ledger, prepared by the attorney’s staff, showed the initial ownership of 100% of the partnership by William, a transfer of 50% to Stacy, and subsequent gifts to the four trusts.  The dates on those ledger entries, however, were left blank.  The appraisal prepared by the couple’s accountant stated that percentage interests in the LLC were given to the trusts on January 31, 2003.  The partnership tax return showed that the capital contributions were credited first to William’s capital account, then one-half was moved to Stacy’s capital account, and thereafter interests were moved to the trusts’ capital accounts. William stated that he decided how much he would transfer to the LLC based on the amount of available gift tax exemptions, taking into account valuation discounts.  The LLC agreement restricted the transfer of membership interests to nonfamily members and reserved manage</w:t>
      </w:r>
      <w:r>
        <w:softHyphen/>
        <w:t>ment functions to the Managers (the taxpayers).  The taxpayers claimed a 47% valuation discount based on the theory that the limitations on alienability and non</w:t>
      </w:r>
      <w:r>
        <w:noBreakHyphen/>
        <w:t>controlling status rendered the percentage interests in the LLC unmarketable.  The IRS denied any discount.  The taxpayers paid the gift tax deficiency and sued for a refund.</w:t>
      </w:r>
    </w:p>
    <w:p w:rsidR="00800BE7" w:rsidRDefault="00800BE7">
      <w:pPr>
        <w:widowControl/>
        <w:ind w:left="2160" w:firstLine="720"/>
        <w:jc w:val="both"/>
      </w:pPr>
      <w:r>
        <w:t xml:space="preserve">The U.S. District Court for the Western District of Washington (Judge Zilly) granted summary judgment for the IRS.  The district court relied on language in the trust agreements and gift documents to determine that the children's trusts were created and the gifts of the </w:t>
      </w:r>
      <w:r>
        <w:lastRenderedPageBreak/>
        <w:t>LLC interests were made to those trusts contemporaneously, on January 22, 2003.  The court also determined the contributions of cash, securities and real property were made to the LLC either at the same time as or soon after the gifts of the LLC interests to the children's trusts.  Thus, the court held that the transfers of LLC interests constituted indirect gifts of the undiscounted value of the underlying assets.  The district court also held, in the alternative, that even if the taxpayers established that the cash, securities and real property were contributed to the LLC before the gifts of LLC interests to the trusts, they were indirect gifts of the underlying assets under the step transaction doctrine.</w:t>
      </w: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Court of Appeals for the Ninth Circuit, in a per curiam opinion, affirmed in part and reversed in part.  The court focused much of its attention on the facts of the case, stating that the sequenc</w:t>
      </w:r>
      <w:r>
        <w:softHyphen/>
        <w:t xml:space="preserve">ing of the transfer of assets to the LLC and the gifts of LLC interests was critical.  </w:t>
      </w:r>
      <w:r>
        <w:rPr>
          <w:i/>
          <w:iCs/>
        </w:rPr>
        <w:t>Senda v. Comm'r,</w:t>
      </w:r>
      <w:r>
        <w:t xml:space="preserve"> 433 F.3d 1044, 1046 (8th Cir. 2006).  If the LLC is funded first, followed by some lapse of time, and then LLC interests are given away, the gifts are ordinarily characterized as gifts of discountable LLC interests.  If the contributions to the LLC occur after the transfer of LLC interests to the children's trusts, however, the gifts are ordinarily characterized as undiscount</w:t>
      </w:r>
      <w:r>
        <w:softHyphen/>
        <w:t xml:space="preserve">able indirect gifts of the particular contributed assets.  The court focused on when the LLC interests were transferred under applicable state law (Washington), noting that under state law, a gift is not completed until there have occurred a subject matter capable of delivery, delivery and acceptance, and a donative intent.  </w:t>
      </w:r>
      <w:r>
        <w:rPr>
          <w:i/>
          <w:iCs/>
        </w:rPr>
        <w:t>In re Marriage of Zier,</w:t>
      </w:r>
      <w:r>
        <w:t xml:space="preserve"> 147 P.3d 624, 628 (Wash. Ct. App. 2006).  The LLC interests were in existence from November, 2002, when the LLC was created.  Delivery of the LLC interests requires the execution of documents, rather than physical delivery.  On January 22, 2003, the taxpayers signed both the trust instruments and a gift document giving the trusts certain percentage LLC interests.  These documents were signed in the presence of the trustee to whom delivery to the trust would need to be made.  Delivery occurred, therefore, on January 22, 2003.  Accep</w:t>
      </w:r>
      <w:r>
        <w:softHyphen/>
        <w:t>tance of the gift is presumed, and so the court deemed the gifts accepted on January 22, 2003.  This left as the key element the intent to make a gift.  The taxpayers stated that they did not intend to give away LLC interests until January 31, 2003, but state law does not apply a subjective</w:t>
      </w:r>
      <w:r>
        <w:noBreakHyphen/>
        <w:t xml:space="preserve">intent standard in the interpretation of legal instruments. </w:t>
      </w:r>
      <w:r>
        <w:rPr>
          <w:i/>
          <w:iCs/>
        </w:rPr>
        <w:t>Hearst Commc'ns, Inc. v. Seattle Times Co.,</w:t>
      </w:r>
      <w:r>
        <w:t xml:space="preserve"> 115 P.3d 262, 267 (Wash. 2005); </w:t>
      </w:r>
      <w:r>
        <w:rPr>
          <w:i/>
          <w:iCs/>
        </w:rPr>
        <w:t>In re Estate of Curry,</w:t>
      </w:r>
      <w:r>
        <w:t xml:space="preserve"> 988 P.2d 505, 508 (Wash. Ct. App. 1999).  Rather, it applies an objective standard, particularly where there is a writing.  </w:t>
      </w:r>
      <w:r>
        <w:rPr>
          <w:i/>
          <w:iCs/>
        </w:rPr>
        <w:t>See</w:t>
      </w:r>
      <w:r>
        <w:t xml:space="preserve">, however, </w:t>
      </w:r>
      <w:r>
        <w:rPr>
          <w:i/>
          <w:iCs/>
        </w:rPr>
        <w:t xml:space="preserve">Restatement of Property (3d): Wills and Other Donative Transfers </w:t>
      </w:r>
      <w:r>
        <w:t xml:space="preserve">§ 10.1 (2003) (adopting a subjective standard).  The objective indicia of intent in this </w:t>
      </w:r>
      <w:r>
        <w:lastRenderedPageBreak/>
        <w:t>case, unfortunately, are ambiguous.  The gift documents stated that the Lintons “hereby gift” the LLC interests, suggesting that the intent to make a gift occurred on the date of signing.  The lack of dating on those documents rendered this statement ambiguous, however.  A writing is also effective to complete a gift “when the donor puts the document beyond retrieval” by delivering the document to the donee, so the mere execution of the gift documents on January 22 did not make the gifts effective on that date.  The signed docu</w:t>
      </w:r>
      <w:r>
        <w:softHyphen/>
        <w:t>ments were retained by the donors’ attorney, which suggests no intent yet to complete the gift.  The attorney stated that he later came to believe that the clients wanted the documents dated January 31, 2003, suggesting that at the time the documents were signed, there was no intent to complete the gift.  On the date of signing, however, the taxpayers did not give their attorney instructions as to when to make the gifts effective.  The attorney divined the taxpayers’ intent months later, based on documents provided him by their accountant.  The court stated that, because the taxpayers never instructed their lawyer to make the gifts effective on January 31, “they cannot plausibly claim that they left the documents with [the attorney] with instructions to make the gifts effective on January 31.”  More importantly, even if the taxpayers had given their attorney such instructions, he appears to have taken no action on January 31 that might have made the gifts effective on that date.  In light of this ambiguity on a key issue, the court reversed and remanded the case for the district court to determine when the taxpayers intended to complete the gifts.</w:t>
      </w: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taxpayers contended that they were entitled to summary judgment because, even were the IRS correct about the timing of the transfer of assets to the LLC and the transfer of LLC interests, no gift to the trusts could have occurred at all, because the LLC agreement states that “A Member's Capital Account shall be increased by the Member's capital contributions to the Company....”  The taxpayers argued that, if they gave assets to the company after they gave membership interests to the trusts, then the transfers would be properly credited to their own capital accounts, rather than those of the trusts.  Therefore, there would be no gift.  The court characterized the taxpayers’ “failed-gift” argument as “too clever.”  The LLC membership ledger showed that the capital accounts of the children's trusts were, in fact, increased, as did the LLC's informational return that its accountants prepared and filed with the IRS in March, 2004.  The taxpayers suggested that these documents were erroneous and should be ignored.  The court suggested, however, that the member</w:t>
      </w:r>
      <w:r>
        <w:softHyphen/>
        <w:t>ship ledger and the LLC's informational return together reflect the substantive reality of the situation: all parties involved regarded the trusts' capital accounts as having been enhanced by the gifts.</w:t>
      </w:r>
    </w:p>
    <w:p w:rsidR="00800BE7" w:rsidRDefault="00800BE7">
      <w:pPr>
        <w:widowControl/>
        <w:ind w:left="2160" w:firstLine="720"/>
        <w:jc w:val="both"/>
      </w:pPr>
      <w:r>
        <w:lastRenderedPageBreak/>
        <w:t>The court then rejected the district court’s alternate reliance on the step transaction doctrine.  The court stated that the step trans</w:t>
      </w:r>
      <w:r>
        <w:softHyphen/>
        <w:t>action doctrine treats multiple transactions as a single inte</w:t>
      </w:r>
      <w:r>
        <w:softHyphen/>
        <w:t>grated transaction for tax purposes if all of the elements of at least one of three tests are satisfied: (1) the end result test, (2) the interdepen</w:t>
      </w:r>
      <w:r>
        <w:softHyphen/>
        <w:t xml:space="preserve">dence test, or (3) the binding commitment test.  </w:t>
      </w:r>
      <w:r>
        <w:rPr>
          <w:i/>
          <w:iCs/>
        </w:rPr>
        <w:t>True v. United States,</w:t>
      </w:r>
      <w:r>
        <w:t xml:space="preserve"> 190 F.3d 1165, 1174</w:t>
      </w:r>
      <w:r>
        <w:noBreakHyphen/>
        <w:t xml:space="preserve">75 (10th Cir. 1999).  The court noted that the Tax Court has described the step transaction doctrine as combining “a series of individually meaningless steps into a single transaction.” </w:t>
      </w:r>
      <w:r>
        <w:rPr>
          <w:i/>
          <w:iCs/>
        </w:rPr>
        <w:t>Esmark, Inc. &amp; Affiliated Cos. v. Comm'r,</w:t>
      </w:r>
      <w:r>
        <w:t xml:space="preserve"> 90 T.C. 171, 195 (1988).  In this case, the IRS pointed to no meaningless or unnecessary step that should be ignored and, examining the step transaction doctrine in light of the three applicable tests, the Ninth Circuit concluded that its application does not entitle the government to summary judgment.  The end result test asks whether a series of steps was undertaken to reach a particular result, and, if so, treats the steps as one.  Under this test, a taxpayer's subjective intent is, the court noted, “especially relevant,” and the result sought by the taxpayers is consistent with the tax treatment that they seek: they wanted to convey LLC interests to their children, without giving them management control over the LLC or ownership of the underlying assets, and if the transactions could somehow be merged, the taxpayers would prevail, because the end result would be that their gifts of LLC interests would be taxed as they contend.  The interdependence test asks “whether on a reasonable interpretation of objective facts the steps were so interdependent that the legal relations created by one transaction would have been fruitless without a completion of the series.”  </w:t>
      </w:r>
      <w:r>
        <w:rPr>
          <w:i/>
          <w:iCs/>
        </w:rPr>
        <w:t>Associated Wholesale Grocers, Inc. v. United States,</w:t>
      </w:r>
      <w:r>
        <w:t xml:space="preserve"> 927 F.2d 1517, 1523 (10th Cir. 1991).  Placing assets into an LLC is an ordinary and objectively reasonable business activity that makes sense with or without any subsequent gift.  The taxpayers’ creation and funding of the LLC enabled them to specify the terms of the LLC and contribute the desired amount and type of capital to it</w:t>
      </w:r>
      <w:r>
        <w:noBreakHyphen/>
        <w:t>reasonable and ordinary business activities.  Thus, the interdependence test would not succeed for the IRS in this case.  The binding commitment test asks whether, at the time the first step of a transaction was entered, there was a binding com</w:t>
      </w:r>
      <w:r>
        <w:softHyphen/>
        <w:t xml:space="preserve">mitment to take the later steps. </w:t>
      </w:r>
      <w:r>
        <w:rPr>
          <w:i/>
          <w:iCs/>
        </w:rPr>
        <w:t>Comm'r v. Gordon,</w:t>
      </w:r>
      <w:r>
        <w:t xml:space="preserve"> 391 U.S. 83, 96 (1968).  The test only applies to transactions spanning several years, and so is irrelevant in this case.</w:t>
      </w: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 xml:space="preserve">The Ninth Circuit, however, mitigated its statements in footnote 9, in which it stated that it really did not like being restricted to analyzing this case under the three traditional step transaction tests, but that the parties had both argued under those three tests.  The court reviewed </w:t>
      </w:r>
      <w:r>
        <w:rPr>
          <w:i/>
          <w:iCs/>
        </w:rPr>
        <w:t xml:space="preserve">Holman </w:t>
      </w:r>
      <w:r>
        <w:t xml:space="preserve">and </w:t>
      </w:r>
      <w:r>
        <w:rPr>
          <w:i/>
          <w:iCs/>
        </w:rPr>
        <w:t xml:space="preserve">Gross </w:t>
      </w:r>
      <w:r>
        <w:t>in the footnote, and then stated:</w:t>
      </w:r>
    </w:p>
    <w:p w:rsidR="00800BE7" w:rsidRDefault="00800BE7">
      <w:pPr>
        <w:widowControl/>
        <w:jc w:val="both"/>
      </w:pPr>
    </w:p>
    <w:p w:rsidR="00800BE7" w:rsidRDefault="00800BE7">
      <w:pPr>
        <w:widowControl/>
        <w:ind w:left="2880" w:right="720"/>
        <w:jc w:val="both"/>
      </w:pPr>
      <w:r>
        <w:lastRenderedPageBreak/>
        <w:t>To obtain favorable tax treatment, the Lintons needed to transfer assets to the LLC and then wait at least some amount of time before they gifted the LLC inter</w:t>
      </w:r>
      <w:r>
        <w:softHyphen/>
        <w:t>ests to their children. The waiting period would subject the gifted assets to some risk of changed valuation before they were transferred, through the LLC, to the children's trusts. That risk would make the two transac</w:t>
      </w:r>
      <w:r>
        <w:softHyphen/>
        <w:t>tions distinct for tax purposes. (The government has not challenged that the nine days between January 22 and January 31 is a sufficiently long period to make the transactions distinct, notwithstanding that some of the value transferred to the LLC was cash.</w:t>
      </w:r>
    </w:p>
    <w:p w:rsidR="00800BE7" w:rsidRDefault="00800BE7">
      <w:pPr>
        <w:widowControl/>
        <w:jc w:val="both"/>
      </w:pPr>
    </w:p>
    <w:p w:rsidR="00800BE7" w:rsidRDefault="00800BE7">
      <w:pPr>
        <w:widowControl/>
        <w:ind w:left="2160"/>
        <w:jc w:val="both"/>
      </w:pPr>
      <w:r>
        <w:t>The court added that, in addition to the three traditional tests, courts often look at the timing of the transaction.  Therefore, if the IRS establishes that there was very little time between the steps in this transaction, there would be no need to apply the three traditional step transaction doctrine tests.</w:t>
      </w:r>
    </w:p>
    <w:p w:rsidR="00800BE7" w:rsidRDefault="00800BE7">
      <w:pPr>
        <w:widowControl/>
        <w:ind w:left="2160" w:firstLine="720"/>
        <w:jc w:val="both"/>
      </w:pPr>
      <w:r>
        <w:t>The Ninth Circuit added insult to injury for the IRS, assessing costs of the appeal against the government.</w:t>
      </w:r>
    </w:p>
    <w:p w:rsidR="00800BE7" w:rsidRDefault="00800BE7">
      <w:pPr>
        <w:widowControl/>
        <w:ind w:left="2160" w:firstLine="720"/>
        <w:jc w:val="both"/>
      </w:pPr>
      <w:r>
        <w:rPr>
          <w:b/>
          <w:bCs/>
        </w:rPr>
        <w:t>Note.</w:t>
      </w:r>
      <w:r>
        <w:t xml:space="preserve">  See also Gerzog, “</w:t>
      </w:r>
      <w:r>
        <w:rPr>
          <w:i/>
          <w:iCs/>
        </w:rPr>
        <w:t>Linton</w:t>
      </w:r>
      <w:r>
        <w:t xml:space="preserve"> Reversed: Indirect Gift and Step Transaction,” 130 Tax Notes No. 13 (2011).</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2036 - 2038.  Retained Powers and Interests</w:t>
      </w:r>
      <w:r>
        <w:rPr>
          <w:b/>
          <w:bCs/>
        </w:rPr>
        <w:fldChar w:fldCharType="begin"/>
      </w:r>
      <w:r w:rsidR="00800BE7">
        <w:rPr>
          <w:b/>
          <w:bCs/>
        </w:rPr>
        <w:instrText>tc \l2 "Field result goes here</w:instrText>
      </w:r>
      <w:r w:rsidR="00800BE7">
        <w:rPr>
          <w:b/>
          <w:bCs/>
        </w:rPr>
        <w:tab/>
        <w:instrText>Code §§ 2036 - 2038.  Retained Powers and Interests</w:instrText>
      </w:r>
      <w:r>
        <w:rPr>
          <w:b/>
          <w:bCs/>
        </w:rP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Continued Use of Residence After Termination of QPRT Does Not Result in Estate Taxation, Even Though No Rent Paid.  </w:t>
      </w:r>
      <w:r w:rsidR="00800BE7">
        <w:rPr>
          <w:b/>
          <w:bCs/>
          <w:i/>
          <w:iCs/>
        </w:rPr>
        <w:t>Estate of Riese v. Comm’r</w:t>
      </w:r>
      <w:r w:rsidR="00800BE7">
        <w:rPr>
          <w:b/>
          <w:bCs/>
        </w:rPr>
        <w:t>, T.C. Memo. 2011</w:t>
      </w:r>
      <w:r w:rsidR="00800BE7">
        <w:rPr>
          <w:b/>
          <w:bCs/>
        </w:rPr>
        <w:noBreakHyphen/>
        <w:t>60 (March 15, 2011)</w:t>
      </w:r>
      <w:r>
        <w:fldChar w:fldCharType="begin"/>
      </w:r>
      <w:r w:rsidR="00800BE7">
        <w:instrText>tc \l3 "</w:instrText>
      </w:r>
      <w:r w:rsidR="00800BE7">
        <w:rPr>
          <w:b/>
          <w:bCs/>
        </w:rPr>
        <w:instrText>Field result goes here</w:instrText>
      </w:r>
      <w:r w:rsidR="00800BE7">
        <w:rPr>
          <w:b/>
          <w:bCs/>
        </w:rPr>
        <w:tab/>
        <w:instrText xml:space="preserve">Continued Use of Residence After Termination of QPRT Does Not Result in Estate Taxation, Even Though No Rent Paid.  </w:instrText>
      </w:r>
      <w:r w:rsidR="00800BE7">
        <w:rPr>
          <w:b/>
          <w:bCs/>
          <w:i/>
          <w:iCs/>
        </w:rPr>
        <w:instrText>Estate of Riese v. Comm’r</w:instrText>
      </w:r>
      <w:r w:rsidR="00800BE7">
        <w:rPr>
          <w:b/>
          <w:bCs/>
        </w:rPr>
        <w:instrText>, T.C. Memo. 2011</w:instrText>
      </w:r>
      <w:r w:rsidR="00800BE7">
        <w:rPr>
          <w:b/>
          <w:bCs/>
        </w:rPr>
        <w:noBreakHyphen/>
        <w:instrText>60 (March 15,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Sylvia created a three-year QPRT that terminated six months before her death. One of her daughters took care of her financial affairs, and consulted with her estate planning attorney regarding the decedent’s continued occupancy of the residence.  The attorney had repeatedly told the daughter and the decedent that the continued use of the residence would require payment of a fair market rent.  After the QPRT terminated on April 19, 2003, the decedent’s attorney advised the daughter to contact several real estate brokers to determine the correct rent, and to execute a written lease before the end of the year.  The decedent died before the daughter had completed that process.  The decedent’s executor excluded the residence from the gross estate and deducted the unpaid rent for the period after the termina</w:t>
      </w:r>
      <w:r>
        <w:softHyphen/>
        <w:t>tion of the QPRT and before the date of death.</w:t>
      </w:r>
    </w:p>
    <w:p w:rsidR="00800BE7" w:rsidRDefault="00800BE7">
      <w:pPr>
        <w:widowControl/>
        <w:ind w:left="2160" w:firstLine="720"/>
        <w:jc w:val="both"/>
      </w:pPr>
      <w:r>
        <w:lastRenderedPageBreak/>
        <w:t xml:space="preserve">The Tax Court (Judge Vasquez) held that the residence was excludible from the decedent’s gross estate, because no rent-free use had been retained by the decedent.  The court noted that, while the decedent’s daughter had never directly discussed rent with the decedent after the QPRT terminated, she had discussed it with the decedent’s attorney, and was acting at his direction to arrange a lease, when the decedent suffered a stroke and died unexpectedly.  The court reviewed several key precedents, including </w:t>
      </w:r>
      <w:r>
        <w:rPr>
          <w:i/>
          <w:iCs/>
        </w:rPr>
        <w:t>Estate of Barlow v. Comm’r</w:t>
      </w:r>
      <w:r>
        <w:t>, 55 T.C. 666 (1971), in which there was a written lease and market rents paid for two years, after which rent pay</w:t>
      </w:r>
      <w:r>
        <w:softHyphen/>
        <w:t xml:space="preserve">ments started because of unforseen circumstances, and the court held that there was no retained life estate in the property.  In </w:t>
      </w:r>
      <w:r>
        <w:rPr>
          <w:i/>
          <w:iCs/>
        </w:rPr>
        <w:t>Guynn v. United States</w:t>
      </w:r>
      <w:r>
        <w:t xml:space="preserve">, 437 F.2d 1148 (4th Cir. 1971), the decedent bought a residence and moved into it, and thereafter conveyed title to her daughter and continued to live there without paying rent and without an express agreement entitling her to do so, and the court held that the value of the property was included in the gross estate on the basis of an implied agreement for a retained life estate.  In </w:t>
      </w:r>
      <w:r>
        <w:rPr>
          <w:i/>
          <w:iCs/>
        </w:rPr>
        <w:t>Estate of Tehan v. Comm’r</w:t>
      </w:r>
      <w:r>
        <w:t>, T.C. Memo. 2005</w:t>
      </w:r>
      <w:r>
        <w:noBreakHyphen/>
        <w:t>128, the decedent conveyed his interest in his home to his eight children and, pursuant to an express agree</w:t>
      </w:r>
      <w:r>
        <w:softHyphen/>
        <w:t xml:space="preserve">ment, continued to exercise “the sole and exclusive right to the use and occupancy of the Property for such period of time as he desires’” and paid no rent, and the court held that there was a retained life estate.  The court noted that in </w:t>
      </w:r>
      <w:r>
        <w:rPr>
          <w:i/>
          <w:iCs/>
        </w:rPr>
        <w:t>Guynn</w:t>
      </w:r>
      <w:r>
        <w:t xml:space="preserve"> and </w:t>
      </w:r>
      <w:r>
        <w:rPr>
          <w:i/>
          <w:iCs/>
        </w:rPr>
        <w:t>Tehan</w:t>
      </w:r>
      <w:r>
        <w:t xml:space="preserve">, there was never an understanding that the decedent would pay rent, whereas in </w:t>
      </w:r>
      <w:r>
        <w:rPr>
          <w:i/>
          <w:iCs/>
        </w:rPr>
        <w:t xml:space="preserve">Barlow </w:t>
      </w:r>
      <w:r>
        <w:t>and this case, the decedent always intended to pay a market rent.  The court stated that the existence of an implied agreement was negated by the express agreement among the parties for the payment of rent.</w:t>
      </w: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rPr>
          <w:b/>
          <w:bCs/>
        </w:rPr>
        <w:lastRenderedPageBreak/>
        <w:t>Note.</w:t>
      </w:r>
      <w:r>
        <w:t xml:space="preserve">  The court also held that the estate could deduct under Section 2053(a)(3) the rent that her estate was legally obligated to pay her daughters for the decedent’s occupation of the residence after the termination of the QPRT and before her death.  The court denied a deduction for rent for the short period after the decedent’s death, noting that there was no formal lease and the decedent’s ten</w:t>
      </w:r>
      <w:r>
        <w:softHyphen/>
        <w:t>ancy</w:t>
      </w:r>
      <w:r>
        <w:noBreakHyphen/>
        <w:t>at</w:t>
      </w:r>
      <w:r>
        <w:noBreakHyphen/>
        <w:t>will ceased upon her death.  “The estate did not require a roof over its head and was not obligated to pay rent. . . .”  The court also denied a $125,000 deduction for a payment made to the decedent’s son</w:t>
      </w:r>
      <w:r>
        <w:noBreakHyphen/>
        <w:t>in</w:t>
      </w:r>
      <w:r>
        <w:noBreakHyphen/>
        <w:t>law for services provided.  The estate argued that the son-in-law had extensive knowledge of decedent’s assets because of his previous service to her, but the court noted that the estate failed to prove the nature of the services provided to the estate.</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How Not to Produce a Fractional</w:t>
      </w:r>
      <w:r w:rsidR="00800BE7">
        <w:rPr>
          <w:b/>
          <w:bCs/>
        </w:rPr>
        <w:noBreakHyphen/>
        <w:t xml:space="preserve">Interest Discount for a Tenancy-in-Common Interest in Real Estate.  </w:t>
      </w:r>
      <w:r w:rsidR="00800BE7">
        <w:rPr>
          <w:b/>
          <w:bCs/>
          <w:i/>
          <w:iCs/>
        </w:rPr>
        <w:t>Estate of Adler v. Comm’r</w:t>
      </w:r>
      <w:r w:rsidR="00800BE7">
        <w:rPr>
          <w:b/>
          <w:bCs/>
        </w:rPr>
        <w:t>, T.C. Memo. 2011-28 (Jan. 31, 2011)</w:t>
      </w:r>
      <w:r>
        <w:rPr>
          <w:b/>
          <w:bCs/>
        </w:rPr>
        <w:fldChar w:fldCharType="begin"/>
      </w:r>
      <w:r w:rsidR="00800BE7">
        <w:rPr>
          <w:b/>
          <w:bCs/>
        </w:rPr>
        <w:instrText>tc \l3 "Field result goes here</w:instrText>
      </w:r>
      <w:r w:rsidR="00800BE7">
        <w:rPr>
          <w:b/>
          <w:bCs/>
        </w:rPr>
        <w:tab/>
        <w:instrText>How Not to Produce a Fractional</w:instrText>
      </w:r>
      <w:r w:rsidR="00800BE7">
        <w:rPr>
          <w:b/>
          <w:bCs/>
        </w:rPr>
        <w:noBreakHyphen/>
        <w:instrText xml:space="preserve">Interest Discount for a Tenancy-in-Common Interest in Real Estate.  </w:instrText>
      </w:r>
      <w:r w:rsidR="00800BE7">
        <w:rPr>
          <w:b/>
          <w:bCs/>
          <w:i/>
          <w:iCs/>
        </w:rPr>
        <w:instrText>Estate of Adler v. Comm’r</w:instrText>
      </w:r>
      <w:r w:rsidR="00800BE7">
        <w:rPr>
          <w:b/>
          <w:bCs/>
        </w:rPr>
        <w:instrText>, T.C. Memo. 2011-28 (Jan. 31,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The decedent, Axel Adler, had owned 1,100 acres of land in Carmel, California.  In 1965, Axel deeded an undivided one</w:t>
      </w:r>
      <w:r>
        <w:noBreakHyphen/>
        <w:t>fifth interest in the property to each of his five children as tenants in common. The deed reserved to Axel “the full use, control, income and possession of . . . [the property] . . . for and during . . . [his] natural life”.  Axel continued to use the property.  None of his children resided there or attempted to interfere with his use, possession, or enjoyment of the property.  Axel paid all expenses associated with the property and was not asked to and did not pay rent to the children.  Axel never sought the children's permission to alter or improve the property.  On the date of death, the property was worth $6,3909,000. The estate, however, claimed that the estate actually included five separate tenancy-in-common interests, and applied a 32% marketability discount and a 16% minority</w:t>
      </w:r>
      <w:r>
        <w:noBreakHyphen/>
        <w:t>interest discount.</w:t>
      </w:r>
    </w:p>
    <w:p w:rsidR="00800BE7" w:rsidRDefault="00800BE7">
      <w:pPr>
        <w:keepLines/>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 Court (Judge Morrison), held for the IRS that no discounts were appropriate. The court noted that the three conditions for the application of Section 2036(a)(1) were met: (1) Axel transferred an interest in the property during life, (2) the transfer was not a sale, and (3) Axel retained possession or enjoyment of the property for life.  Treas. Regs. § 20.2036</w:t>
      </w:r>
      <w:r>
        <w:noBreakHyphen/>
        <w:t xml:space="preserve">1(a); </w:t>
      </w:r>
      <w:r>
        <w:rPr>
          <w:i/>
          <w:iCs/>
        </w:rPr>
        <w:t>Estate of Bon</w:t>
      </w:r>
      <w:r>
        <w:rPr>
          <w:i/>
          <w:iCs/>
        </w:rPr>
        <w:softHyphen/>
        <w:t>gard v. Comm’r</w:t>
      </w:r>
      <w:r>
        <w:t>, 124 T.C. 95, 112 (2005).  The general purpose of Section 2036, the court explained, is to include the value of property in the value of the gross estate where Axel transfers the property during life and the transfer is essentially testamentary in nature.  Transfers included under Section 2036(a)(1) are essentially testamentary in nature because the transferor controls the disposition of the property at death but possesses and enjoys the property during life.  The court agreed that, when a person dies holding a fractional interest in property, it is often appropriate to discount the value of the interest because the lack of control and the lack of liquidity decrease the property's value.  Whether property should be valued as a whole or as separate fractional interests, however, depends on when the interests are separated.  If ownership is split during Axel's lifetime, the interest Axel retained is valued sepa</w:t>
      </w:r>
      <w:r>
        <w:softHyphen/>
        <w:t xml:space="preserve">rately.  If the split occurs only at death, the property is valued as a whole – with no discount for split ownership.  </w:t>
      </w:r>
      <w:r>
        <w:rPr>
          <w:i/>
          <w:iCs/>
        </w:rPr>
        <w:t>Ahmanson Found. v. United States</w:t>
      </w:r>
      <w:r>
        <w:t>, 674 F.2d 761, 768 (9th Cir. 1981).  In this case, there</w:t>
      </w:r>
      <w:r>
        <w:softHyphen/>
        <w:t xml:space="preserve">fore, the court held that the ownership of the property should be considered to have been split up at Axel’s death.  The retention of a lifetime use of the property, the </w:t>
      </w:r>
      <w:r>
        <w:lastRenderedPageBreak/>
        <w:t>court stated, rendered the division testamentary in character, and negated any marketability or control discounts.</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Actually Living in the House is a Tough Fact to Get Past.  </w:t>
      </w:r>
      <w:r w:rsidR="00800BE7">
        <w:rPr>
          <w:b/>
          <w:bCs/>
          <w:i/>
          <w:iCs/>
        </w:rPr>
        <w:t>Estate of Van v. Comm’r</w:t>
      </w:r>
      <w:r w:rsidR="00800BE7">
        <w:rPr>
          <w:b/>
          <w:bCs/>
        </w:rPr>
        <w:t>, T.C. Memo. 2011-22 (Jan. 27, 2011)</w:t>
      </w:r>
      <w:r>
        <w:fldChar w:fldCharType="begin"/>
      </w:r>
      <w:r w:rsidR="00800BE7">
        <w:instrText>tc \l3 "</w:instrText>
      </w:r>
      <w:r w:rsidR="00800BE7">
        <w:rPr>
          <w:b/>
          <w:bCs/>
        </w:rPr>
        <w:instrText>Field result goes here</w:instrText>
      </w:r>
      <w:r w:rsidR="00800BE7">
        <w:rPr>
          <w:b/>
          <w:bCs/>
        </w:rPr>
        <w:tab/>
        <w:instrText xml:space="preserve">Actually Living in the House is a Tough Fact to Get Past.  </w:instrText>
      </w:r>
      <w:r w:rsidR="00800BE7">
        <w:rPr>
          <w:b/>
          <w:bCs/>
          <w:i/>
          <w:iCs/>
        </w:rPr>
        <w:instrText>Estate of Van v. Comm’r</w:instrText>
      </w:r>
      <w:r w:rsidR="00800BE7">
        <w:rPr>
          <w:b/>
          <w:bCs/>
        </w:rPr>
        <w:instrText>, T.C. Memo. 2011-22 (Jan. 27, 2011)</w:instrText>
      </w:r>
      <w:r>
        <w:fldChar w:fldCharType="end"/>
      </w:r>
    </w:p>
    <w:p w:rsidR="00800BE7" w:rsidRDefault="00800BE7">
      <w:pPr>
        <w:keepNext/>
        <w:keepLines/>
        <w:widowControl/>
        <w:jc w:val="both"/>
      </w:pPr>
    </w:p>
    <w:p w:rsidR="00800BE7" w:rsidRDefault="00800BE7">
      <w:pPr>
        <w:keepLines/>
        <w:widowControl/>
        <w:ind w:left="2160"/>
        <w:jc w:val="both"/>
      </w:pPr>
      <w:r>
        <w:t>The decedent, Adelina Cheng Van, was a Chinese immigrant who became quite knowledgeable about the real estate market in and around San Francisco, California.  In 1988, one of the decedent’s daughters and son-in-law (the Hus) asked her to see if the dece</w:t>
      </w:r>
      <w:r>
        <w:softHyphen/>
        <w:t>dent’s long-time boyfriend would sell to them a house in which the decedent lived.  The boyfriend became worried that the decedent might bring a palimony suit, and so had her sign a "Mutual Agreement and Re</w:t>
      </w:r>
      <w:r>
        <w:softHyphen/>
        <w:t>lease," that required him to sell her the house.  The Hus gave the decedent the $170,000 for a downpayment, and gave her the money to make payments on the $80,000 promissory note she signed.  Within hours of recording the deed to the house, the decedent recorded a grant deed conveying title to the house to herself and two of her grandchildren (the children of the Hus), as joint tenants.  Several years later, the decedent had the two grandchildren reconvey title to her solely.  The decedent then created a revocable trust and deeded the house to herself as trustee.  Two years later, she transferred title to the house from herself as trustee to her daughter and three granddaughters.  The decedent died and her son became the personal representative of her estate.  The son filed an estate tax return disclosing the existence of the house, but excluding it from the gross estate on the grounds that it belonged to the Hus.  The IRS disagreed, and assessed a deficiency.</w:t>
      </w:r>
    </w:p>
    <w:p w:rsidR="00800BE7" w:rsidRDefault="00800BE7">
      <w:pPr>
        <w:keepLines/>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 Court (Judge Holmes) held for the IRS.  The estate argued that the Hus really owned the house, because they gave the decedent the money to buy it, under what they claimed was an agency agreement.  They stated that they allowed the decedent to take title in her own name to placate her boyfriend and insure that the sale would take place.  They noted that the decedent had previously served as the Hus’ agent for real</w:t>
      </w:r>
      <w:r>
        <w:noBreakHyphen/>
        <w:t>estate purchases.  The court focused first on state law (California), to decide what interests the decedent held at death.  The court noted that, unlike the agency situations in which the decedent had previously acted for the Hus, in this situation, the decedent took legal title to the house in her own name and actually lived there.  State law, furthermore, pre</w:t>
      </w:r>
      <w:r>
        <w:softHyphen/>
        <w:t>sumes legal ownership by the person in whose name title is held, and requires clear and convincing evidence to overcome that presumption.  The court found that the evidence adduced by the Hus, including argu</w:t>
      </w:r>
      <w:r>
        <w:softHyphen/>
        <w:t>ments that they were worried about the son-in-law’s possible credi</w:t>
      </w:r>
      <w:r>
        <w:softHyphen/>
        <w:t xml:space="preserve">tors, did not meet this burden.  The Tax Court also rejected the </w:t>
      </w:r>
      <w:r>
        <w:lastRenderedPageBreak/>
        <w:t>argument that a resulting trust existed, based on the provision of the purchase price by the Hus.  The court noted that, under state law, a resulting trust arises where there is a showing that the transferee was not intended to take the beneficial interest, but in this case, the decedent not only "intended to take the beneficial interest" in the house, she actually did take a beneficial interest and then lived there for years.  Furthermore, state law makes an exception to the resulting trust doctrine for transactions between parent and child, which are deemed presumptively gifts.  Therefore, the court refused to impose a resulting trust on the property.  The court concluded that the decedent wanted to transfer the property to her daughter’s children, but she also wanted to retain its lifetime use.  She never paid rent on the property, and the court concluded that the fair market value of the house should be included in the decedent’s gross estate.</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2041.  Powers of Appointment</w:t>
      </w:r>
      <w:r>
        <w:fldChar w:fldCharType="begin"/>
      </w:r>
      <w:r w:rsidR="00800BE7">
        <w:instrText>tc \l2 "</w:instrText>
      </w:r>
      <w:r w:rsidR="00800BE7">
        <w:rPr>
          <w:b/>
          <w:bCs/>
        </w:rPr>
        <w:instrText>Field result goes here</w:instrText>
      </w:r>
      <w:r w:rsidR="00800BE7">
        <w:rPr>
          <w:b/>
          <w:bCs/>
        </w:rPr>
        <w:tab/>
        <w:instrText>Code § 2041.  Powers of Appointment</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Right to Withdraw Principal For “Welfare” Is Not a General Power of Appointment. </w:t>
      </w:r>
      <w:r w:rsidR="00800BE7">
        <w:rPr>
          <w:b/>
          <w:bCs/>
          <w:i/>
          <w:iCs/>
        </w:rPr>
        <w:t>Estate of Chancellor v. Comm’r</w:t>
      </w:r>
      <w:r w:rsidR="00800BE7">
        <w:rPr>
          <w:b/>
          <w:bCs/>
        </w:rPr>
        <w:t>, T.C. Memo. 2011</w:t>
      </w:r>
      <w:r w:rsidR="00800BE7">
        <w:rPr>
          <w:b/>
          <w:bCs/>
        </w:rPr>
        <w:noBreakHyphen/>
        <w:t>172 (July 14, 2011)</w:t>
      </w:r>
      <w:r>
        <w:rPr>
          <w:b/>
          <w:bCs/>
        </w:rPr>
        <w:fldChar w:fldCharType="begin"/>
      </w:r>
      <w:r w:rsidR="00800BE7">
        <w:rPr>
          <w:b/>
          <w:bCs/>
        </w:rPr>
        <w:instrText>tc \l3 "Field result goes here</w:instrText>
      </w:r>
      <w:r w:rsidR="00800BE7">
        <w:rPr>
          <w:b/>
          <w:bCs/>
        </w:rPr>
        <w:tab/>
        <w:instrText xml:space="preserve">Right to Withdraw Principal For “Welfare” Is Not a General Power of Appointment. </w:instrText>
      </w:r>
      <w:r w:rsidR="00800BE7">
        <w:rPr>
          <w:b/>
          <w:bCs/>
          <w:i/>
          <w:iCs/>
        </w:rPr>
        <w:instrText>Estate of Chancellor v. Comm’r</w:instrText>
      </w:r>
      <w:r w:rsidR="00800BE7">
        <w:rPr>
          <w:b/>
          <w:bCs/>
        </w:rPr>
        <w:instrText>, T.C. Memo. 2011</w:instrText>
      </w:r>
      <w:r w:rsidR="00800BE7">
        <w:rPr>
          <w:b/>
          <w:bCs/>
        </w:rPr>
        <w:noBreakHyphen/>
        <w:instrText>172 (July 14,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Ann Chancellors husband died, leaving a will that created a credit shelter trust and named the decedent co-trustee, together with a bank.  The co-trustees were given the power to distribute principal to and among the bene</w:t>
      </w:r>
      <w:r>
        <w:softHyphen/>
        <w:t>ficiaries “for the necessary maintenance, education, health care, sustenance, welfare or other appropriate expenditures”of the beneficiaries, “taking into consideration the standard of living to which they are accustomed and any income available to them from other sources.” The will also stated that the credit shelter trust was created “to convey . . . the max</w:t>
      </w:r>
      <w:r>
        <w:softHyphen/>
        <w:t>imum portion of my estate which, at the time of my death, shall be exempt from the federal transfer tax.”  The decedent never requested or received any trust corpus.  The IRS, at the decedent’s death, contended that the $1,205,034 assets of the trust should be includible in her gross estate for federal estate tax purposes, because her power over the trust fund constituted a general power of appointment.</w:t>
      </w:r>
    </w:p>
    <w:p w:rsidR="00800BE7" w:rsidRDefault="00800BE7">
      <w:pPr>
        <w:keepLines/>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 Court (Judge Thornton) disagreed, and held for the estate, finding that the decedent held a power over the trust subject to an ascertainable standard relating to her health, education, support, or mainte</w:t>
      </w:r>
      <w:r>
        <w:softHyphen/>
        <w:t>nance.  Code § 2041(b)(1)(A); Treas. Reg. § 20.2041</w:t>
      </w:r>
      <w:r>
        <w:noBreakHyphen/>
        <w:t xml:space="preserve"> 1(c)(2).  There was no question that the standard was ascertainable, but the IRS and the court focused on whether it was related solely to the decedent’s health, education, support, or maintenance.  </w:t>
      </w:r>
      <w:r>
        <w:rPr>
          <w:i/>
          <w:iCs/>
        </w:rPr>
        <w:t xml:space="preserve">Estate of </w:t>
      </w:r>
      <w:r>
        <w:rPr>
          <w:i/>
          <w:iCs/>
        </w:rPr>
        <w:lastRenderedPageBreak/>
        <w:t>Little v. Comm’r</w:t>
      </w:r>
      <w:r>
        <w:t xml:space="preserve">, 87 T.C. 599, 601 (1986); </w:t>
      </w:r>
      <w:r>
        <w:rPr>
          <w:i/>
          <w:iCs/>
        </w:rPr>
        <w:t>Estate of Strauss v. Comm’r</w:t>
      </w:r>
      <w:r>
        <w:t>, T.C. Memo. 1995-</w:t>
      </w:r>
      <w:r>
        <w:softHyphen/>
        <w:t xml:space="preserve">248.  The court agreed with the IRS that, in some contexts, the right to withdraw for “welfare” does not relate solely to health, education, support or maintenance.  </w:t>
      </w:r>
      <w:r>
        <w:rPr>
          <w:i/>
          <w:iCs/>
        </w:rPr>
        <w:t>Lehman v. United States</w:t>
      </w:r>
      <w:r>
        <w:t>, 448 F.2d 1318, 1319 (5th Cir. 1971) (the right to consume corpus whenever, in the decedent’s own discretion, she deemed the trust income “insufficient for her support, maintenance, comfort, and welfare”);</w:t>
      </w:r>
      <w:r>
        <w:rPr>
          <w:i/>
          <w:iCs/>
        </w:rPr>
        <w:t xml:space="preserve"> Estate of Jones v. Comm’r</w:t>
      </w:r>
      <w:r>
        <w:t>, 56 T.C. 35, 37</w:t>
      </w:r>
      <w:r>
        <w:noBreakHyphen/>
        <w:t xml:space="preserve">41 (1971), </w:t>
      </w:r>
      <w:r>
        <w:rPr>
          <w:i/>
          <w:iCs/>
        </w:rPr>
        <w:t>aff’d</w:t>
      </w:r>
      <w:r>
        <w:t>, 474 F.2d 1338 (3d Cir. 1973) (power to consume trust corpus “in situations affecting * * * [the decedent’s] care, maintenance, health, welfare and well</w:t>
      </w:r>
      <w:r>
        <w:noBreakHyphen/>
        <w:t xml:space="preserve"> being”).  The court distinguished these cases from the present trust, where the decedent could consume for “necessary * * * welfare or other appropriate expenditures”.  The court noted that the Mississippi Supreme Court has endorsed the view that the word “comfort” in a trust document is intended to maintain the beneficiary’s standard of living as existed at the trust’s creation.  </w:t>
      </w:r>
      <w:r>
        <w:rPr>
          <w:i/>
          <w:iCs/>
        </w:rPr>
        <w:t>Gulf Natl. Bank v. Sturtevant</w:t>
      </w:r>
      <w:r>
        <w:t xml:space="preserve">, 511 So. 2d 936, 938 (Miss. 1987).  That court had not construed the term “welfare,” but in </w:t>
      </w:r>
      <w:r>
        <w:rPr>
          <w:i/>
          <w:iCs/>
        </w:rPr>
        <w:t>Gulf Natl. Bank</w:t>
      </w:r>
      <w:r>
        <w:t xml:space="preserve">, it favorably cited </w:t>
      </w:r>
      <w:r>
        <w:rPr>
          <w:i/>
          <w:iCs/>
        </w:rPr>
        <w:t>Blodget v. Delaney</w:t>
      </w:r>
      <w:r>
        <w:t xml:space="preserve">, 201 F.2d 589, 593 (1st Cir. 1953), which did so, finding that “comfort and welfare”, unlike “happiness,” “desire,” or “use and benefit,” was similar to maintenance or support, and that it did not cover whim or caprice, or even an invasion of principal by the trustee to satisfy the life beneficiary’s wish to make a gift.  See also </w:t>
      </w:r>
      <w:r>
        <w:rPr>
          <w:i/>
          <w:iCs/>
        </w:rPr>
        <w:t>In re Buell’s Estate</w:t>
      </w:r>
      <w:r>
        <w:t>, 66 N.Y.S.2d 180 (1946) (interpret</w:t>
      </w:r>
      <w:r>
        <w:softHyphen/>
        <w:t>ing “welfare” under New York law as providing for ‘“physical comfort and well</w:t>
      </w:r>
      <w:r>
        <w:noBreakHyphen/>
        <w:t>being’ in accordance with the beneficiary’s accustomed standard of living”).  The court also noted that the word “welfare” had to be considered together with the qualifiers “necessary” and “needed,” further demonstrating the relationship between “welfare” and the beneficiaries’ maintenance and support according to their accustomed standards of living.  The court also held that the phrase “other appropriate expenditures needed” by the beneficiaries created a non-general power of appointment, particularly when preceded by a list of “necessary” support</w:t>
      </w:r>
      <w:r>
        <w:noBreakHyphen/>
        <w:t xml:space="preserve">related purposes.  The Mississippi Supreme Court would, the Tax Court stated, “most likely apply the rule of ejusdem generis” to construe the words “other appropriate expenditures needed” as referring to expenditures that are similar to those previously enumerated. </w:t>
      </w:r>
    </w:p>
    <w:p w:rsidR="00800BE7" w:rsidRDefault="00800BE7">
      <w:pPr>
        <w:widowControl/>
        <w:ind w:left="2160" w:firstLine="720"/>
        <w:jc w:val="both"/>
      </w:pPr>
      <w:r>
        <w:rPr>
          <w:b/>
          <w:bCs/>
        </w:rPr>
        <w:t>Note.</w:t>
      </w:r>
      <w:r>
        <w:t xml:space="preserve">  The trustees were also authorized to apportion trust income among decedent, her husband’s children, and her husband’s grandchildren “in accordance with their respective needs.”  The IRS declined to raise questions about whether this power was a general power of appointment.</w:t>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BC7053">
      <w:pPr>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IRS Accepts State Court Reformation to Correct an Inadvertent General Power of Appointment.  PLR 201132017 (Aug. 12, 2011)</w:t>
      </w:r>
      <w:r>
        <w:rPr>
          <w:b/>
          <w:bCs/>
        </w:rPr>
        <w:fldChar w:fldCharType="begin"/>
      </w:r>
      <w:r w:rsidR="00800BE7">
        <w:rPr>
          <w:b/>
          <w:bCs/>
        </w:rPr>
        <w:instrText>tc \l3 "Field result goes here</w:instrText>
      </w:r>
      <w:r w:rsidR="00800BE7">
        <w:rPr>
          <w:b/>
          <w:bCs/>
        </w:rPr>
        <w:tab/>
        <w:instrText>IRS Accepts State Court Reformation to Correct an Inadvertent General Power of Appointment.  PLR 201132017 (Aug. 12, 2011)</w:instrText>
      </w:r>
      <w:r>
        <w:rPr>
          <w:b/>
          <w:bCs/>
        </w:rPr>
        <w:fldChar w:fldCharType="end"/>
      </w:r>
    </w:p>
    <w:p w:rsidR="00800BE7" w:rsidRDefault="00800BE7">
      <w:pPr>
        <w:widowControl/>
        <w:jc w:val="both"/>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jc w:val="both"/>
      </w:pPr>
      <w:r>
        <w:lastRenderedPageBreak/>
        <w:t>D and S created a joint revocable trust providing that, on the death of the first settlor to die, the trust would be divided into a Marital Trust, a By-Pass Trust, and a Survivor’s Trust.  The instrument also stated that, on the death of the surviving spouse, the trustee shall pay from the trust estate the surviving spouse's debts, expenses, and death taxes due by reason of the his or her death, and charge those payments against property in the By</w:t>
      </w:r>
      <w:r>
        <w:noBreakHyphen/>
        <w:t>Pass Trust (except that a any Non</w:t>
      </w:r>
      <w:r>
        <w:noBreakHyphen/>
        <w:t>Qualified Marital Trust will bear any estate, gift, generation</w:t>
      </w:r>
      <w:r>
        <w:noBreakHyphen/>
        <w:t>skipping or other transfer taxes imposed on it.  The trustee is prohibited from using any “insurance proceeds, qualified retirement plan distributions, or other assets otherwise excludable from federal estate tax to pay debts, expenses, death taxes, or any other obliga</w:t>
      </w:r>
      <w:r>
        <w:softHyphen/>
        <w:t>tions enforceable against the Surviving Trustor's estate” to pay debts, expenses, and estate taxes.  The instrument also gives the surviving spouse a general testamentary power to appoint the balance of the Survivor’s Trust to anyone, including his or her estate, his or her creditors, or the creditors of his or her estate.  D died survived by the S and three children.  S became executor of D's estate and trustee of the Survivor's Trust, the By</w:t>
      </w:r>
      <w:r>
        <w:noBreakHyphen/>
        <w:t>Pass Trust, and the Marital Trust.  D and S hired an attorney to provide them with estate planning advice.  The attorney drafted the trust.  After D’s death, another attorney was consulted, and upon review of the trust provisions, the new attorney confirmed that the trust language incorrectly provided that expenses, debts and taxes would be charged against the By-Pass Trust.  S and the drafting attorney represented that it was D’s and S’s intent to minimize estate taxes, including maximizing the use of the unified credit, and that the By</w:t>
      </w:r>
      <w:r>
        <w:noBreakHyphen/>
        <w:t>Pass Trust should have been drafted to ensure that the assets in the By</w:t>
      </w:r>
      <w:r>
        <w:noBreakHyphen/>
        <w:t>Pass trust would not be included in the surviving spouse’s gross estate.  S contended that the present language resulted from a scrivener's error, and the drafting attorney agreed.  S, as trustee, brought an action in state court to have the language of the trust reformed so as to charge debts, taxes and expenses against the Survivor’s Trust, rather than against the By</w:t>
      </w:r>
      <w:r>
        <w:noBreakHyphen/>
        <w:t>Pass Trust.  S and the drafting attorney agreed that the language that charged the By-Pass with debts, taxes and expenses was not only contrary to the intent of the settlors in creating the trust, but that it contradicted the language that directed that the trustee not use "any insurance proceeds, qualified retirement plan distributions, or other assets otherwise excludable from federal estate tax to pay debts, expenses, death taxes, or any other obligations enforceable against the Surviving Trustor's estate."   S noted that the phrase "other assets otherwise excludible" would necessarily include assets in the By</w:t>
      </w:r>
      <w:r>
        <w:softHyphen/>
        <w:t xml:space="preserve">-Pass </w:t>
      </w:r>
      <w:r>
        <w:lastRenderedPageBreak/>
        <w:t>Trust.  Finally, S noted that the trust stated that "[t]o whatever extent the then remaining balance of the Survivor's Trust has not been effectively appointed by the Surviving Spouse pursuant to the above general power of appointment and not consumed for the payment of debts, expenses, and taxes, the Trustee shall distribute the Survivor's Trust, including any distributions made to the trust by reason of such death, such as from the Surviving Spouse's Will or life insurance policies on the Surviving Spouse's life, as set forth in Section 4.04 hereinbelow."   This language, S noted, suggested that the Survivor's Trust should bear the debts, expenses and taxes incurred due to the death of the surviving spouse.</w:t>
      </w:r>
    </w:p>
    <w:p w:rsidR="00800BE7" w:rsidRDefault="00800BE7">
      <w:pPr>
        <w:widowControl/>
        <w:ind w:left="216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local court granted the petition for modification, retroac</w:t>
      </w:r>
      <w:r>
        <w:softHyphen/>
        <w:t>tively reforming the trust  to charge debts, taxes and expenses against the Survivor’s Trust, rather than against the By-Pass Trust.  The trustee asked the IRS to rule that the By</w:t>
      </w:r>
      <w:r>
        <w:noBreakHyphen/>
        <w:t xml:space="preserve">Pass Trust, as modified, did not give S a general power of appointment, that modification of the trust pursuant to the court's order was not an exercise or release of a general power of appointment for gift tax purposes, and that S was not deemed to have made a gift of an interest in the trust as a result of the court order.  The IRS granted the requested relief, explaining that a power of appointment exercisable to meet the estate tax, or any other taxes, debts, or charges which are enforceable against the estate is a general power of appointment.  The question, however, was the true terms of the trust instrument.  The IRS also discussed </w:t>
      </w:r>
      <w:r>
        <w:rPr>
          <w:i/>
          <w:iCs/>
        </w:rPr>
        <w:t>Comm’r v.  Estate of Bosch</w:t>
      </w:r>
      <w:r>
        <w:t xml:space="preserve">, 387 U.S.  456, (1967), in which the Supreme Court considered whether a state trial court's characterization of property rights conclusively binds a federal court or agency in a federal estate tax controversy.  The Supreme Court concluded that the decision of a state trial court as to an underlying issue of state law should not be controlling when applied to a federal statute, and that the highest court of the state is the best authority on the underlying substantive rule of state law to be applied in the federal matter.  If there is no decision by the highest court of a state, however, then the federal authority must apply what it finds to be state law after giving "proper regard" to the state trial court's determination and to relevant rulings of other courts of the state.  Under State law, the IRS explained, a trust has standing to seek reformation and a probate court has equitable power to modify a trust if the provisions of the trust are ambiguous or if adherence to the terms of the trust would defeat the primary purpose of the trust.  The IRS quoted a state case to the effect that "equitable power of a trial court to modify or reform a trust extends to situations where the trust instrument contains some expression of the trustor's intention, but a drafting error renders that expression ambiguous."  A mistake by the scrivener or draftsman in reducing the intent of the parties to writing is ground for reformation.  </w:t>
      </w:r>
      <w:r>
        <w:lastRenderedPageBreak/>
        <w:t>Therefore, a retroactive amendment is permitted in order to correct errors, but the power to make such amendments may be used only when necessary to correct a clear mistake and prevent injustice.  In this case, the IRS stated:</w:t>
      </w:r>
    </w:p>
    <w:p w:rsidR="00800BE7" w:rsidRDefault="00800BE7">
      <w:pPr>
        <w:widowControl/>
        <w:jc w:val="both"/>
      </w:pPr>
    </w:p>
    <w:p w:rsidR="00800BE7" w:rsidRDefault="00800BE7">
      <w:pPr>
        <w:widowControl/>
        <w:ind w:left="2880" w:right="720"/>
        <w:jc w:val="both"/>
      </w:pPr>
      <w:r>
        <w:t>documentation submitted by Surviving Spouse strongly indicates that Decedent and Surviving Spouse did not intend to have any control over the assets held in the By</w:t>
      </w:r>
      <w:r>
        <w:noBreakHyphen/>
        <w:t>Pass Trust, and that the provision in Section 4.01 of Trust to charge Surviving Spouse's debts, expenses and death taxes from the By</w:t>
      </w:r>
      <w:r>
        <w:noBreakHyphen/>
        <w:t>Pass Trust was the result of a scrivener's error.  In reforming the By</w:t>
      </w:r>
      <w:r>
        <w:noBreakHyphen/>
        <w:t>Pass Trust, Court found that the modification of Trust was an equitable reformation of Trust under common law and State Statute 1.</w:t>
      </w:r>
    </w:p>
    <w:p w:rsidR="00800BE7" w:rsidRDefault="00800BE7">
      <w:pPr>
        <w:widowControl/>
        <w:ind w:left="2880" w:right="720" w:firstLine="720"/>
        <w:jc w:val="both"/>
      </w:pPr>
      <w:r>
        <w:t xml:space="preserve">Consequently, we conclude that the Court's Order on Date 4, modifying the trust instrument </w:t>
      </w:r>
      <w:r>
        <w:rPr>
          <w:i/>
          <w:iCs/>
        </w:rPr>
        <w:t>nunc pro tunc</w:t>
      </w:r>
      <w:r>
        <w:t xml:space="preserve"> based on a scrivener's error is consistent with applicable State law that would be applied by the highest court of that state.  Section 4.01 of Trust, as modified pursuant to the Court's Order, does not provide Surviving Spouse with a general power of appointment under § 2041(b) over the assets of the By</w:t>
      </w:r>
      <w:r>
        <w:noBreakHyphen/>
        <w:t>Pass Trust.  Therefore, based on the facts submitted and the repre</w:t>
      </w:r>
      <w:r>
        <w:softHyphen/>
        <w:t>sentations made, we conclude that the value of the assets in the By</w:t>
      </w:r>
      <w:r>
        <w:noBreakHyphen/>
        <w:t>Pass Trust will not be included in Surviving Spouse's gross estate under § 2041(a)(2) upon his death.</w:t>
      </w:r>
    </w:p>
    <w:p w:rsidR="00800BE7" w:rsidRDefault="00800BE7">
      <w:pPr>
        <w:widowControl/>
        <w:jc w:val="both"/>
      </w:pPr>
    </w:p>
    <w:p w:rsidR="00800BE7" w:rsidRDefault="00800BE7">
      <w:pPr>
        <w:widowControl/>
        <w:ind w:left="2160"/>
        <w:jc w:val="both"/>
      </w:pPr>
      <w:r>
        <w:t>The IRS stated that the trust, as modified, did not give S a general power of appointment, so that the modification cannot constitute the release or exercise of such a power.  Furthermore, it cannot constitute a deemed taxable gift under general gift tax concepts.</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2042.  Life Insurance Proceeds</w:t>
      </w:r>
      <w:r>
        <w:rPr>
          <w:b/>
          <w:bCs/>
        </w:rPr>
        <w:fldChar w:fldCharType="begin"/>
      </w:r>
      <w:r w:rsidR="00800BE7">
        <w:rPr>
          <w:b/>
          <w:bCs/>
        </w:rPr>
        <w:instrText>tc \l2 "Field result goes here</w:instrText>
      </w:r>
      <w:r w:rsidR="00800BE7">
        <w:rPr>
          <w:b/>
          <w:bCs/>
        </w:rPr>
        <w:tab/>
        <w:instrText>Code § 2042.  Life Insurance Proceeds</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 xml:space="preserve">Right to Designate Beneficiaries is an Incident of Ownership Resulting in Estate Taxation of Life Insurance Proceeds.  </w:t>
      </w:r>
      <w:r>
        <w:rPr>
          <w:b/>
          <w:bCs/>
          <w:i/>
          <w:iCs/>
        </w:rPr>
        <w:t>Estate of Coaxum v. Comm’r</w:t>
      </w:r>
      <w:r>
        <w:rPr>
          <w:b/>
          <w:bCs/>
        </w:rPr>
        <w:t>, T.C. Memo. 2011</w:t>
      </w:r>
      <w:r>
        <w:rPr>
          <w:b/>
          <w:bCs/>
        </w:rPr>
        <w:noBreakHyphen/>
        <w:t>135 (June 16, 2011)</w:t>
      </w:r>
      <w:r w:rsidR="00BC7053">
        <w:fldChar w:fldCharType="begin"/>
      </w:r>
      <w:r>
        <w:instrText>tc \l3 "</w:instrText>
      </w:r>
      <w:r>
        <w:rPr>
          <w:b/>
          <w:bCs/>
        </w:rPr>
        <w:instrText xml:space="preserve">Right to Designate Beneficiaries is an Incident of Ownership Resulting in Estate Taxation of Life Insurance Proceeds.  </w:instrText>
      </w:r>
      <w:r>
        <w:rPr>
          <w:b/>
          <w:bCs/>
          <w:i/>
          <w:iCs/>
        </w:rPr>
        <w:instrText>Estate of Coaxum v. Comm’r</w:instrText>
      </w:r>
      <w:r>
        <w:rPr>
          <w:b/>
          <w:bCs/>
        </w:rPr>
        <w:instrText>, T.C. Memo. 2011</w:instrText>
      </w:r>
      <w:r>
        <w:rPr>
          <w:b/>
          <w:bCs/>
        </w:rPr>
        <w:noBreakHyphen/>
        <w:instrText>135 (June 16, 2011)</w:instrText>
      </w:r>
      <w:r w:rsidR="00BC7053">
        <w:fldChar w:fldCharType="end"/>
      </w:r>
    </w:p>
    <w:p w:rsidR="00800BE7" w:rsidRDefault="00800BE7">
      <w:pPr>
        <w:keepNext/>
        <w:keepLines/>
        <w:widowControl/>
        <w:jc w:val="both"/>
      </w:pPr>
    </w:p>
    <w:p w:rsidR="00800BE7" w:rsidRDefault="00800BE7">
      <w:pPr>
        <w:keepLines/>
        <w:widowControl/>
        <w:ind w:left="1440"/>
        <w:jc w:val="both"/>
      </w:pPr>
      <w:r>
        <w:t>The decedent, Edward Thomas Coaxum, was the insured in six policies that provided death benefits, and he possessed at his death the power to change the beneficiaries on all six relevant policies.  The estate tax value of the policies was $1,283,184.</w:t>
      </w:r>
    </w:p>
    <w:p w:rsidR="00800BE7" w:rsidRDefault="00800BE7">
      <w:pPr>
        <w:keepLines/>
        <w:widowControl/>
        <w:ind w:left="1440"/>
        <w:jc w:val="both"/>
        <w:sectPr w:rsidR="00800BE7">
          <w:type w:val="continuous"/>
          <w:pgSz w:w="12240" w:h="15840"/>
          <w:pgMar w:top="1440" w:right="1440" w:bottom="1440" w:left="1440" w:header="1440" w:footer="1440" w:gutter="0"/>
          <w:cols w:space="720"/>
          <w:noEndnote/>
        </w:sectPr>
      </w:pPr>
    </w:p>
    <w:p w:rsidR="00800BE7" w:rsidRDefault="00800BE7">
      <w:pPr>
        <w:widowControl/>
        <w:ind w:left="1440" w:firstLine="720"/>
        <w:jc w:val="both"/>
      </w:pPr>
      <w:r>
        <w:lastRenderedPageBreak/>
        <w:t>The Tax Court (Judge Morrison) held that the decedent’s gross estate included the value of the life insurance policies, under Section 2042(2), because the decedent had the power to change the beneficiaries, and the right to change the beneficiaries was an incident of ownership.  Treas. Reg. § 20.2042</w:t>
      </w:r>
      <w:r>
        <w:noBreakHyphen/>
        <w:t>1(c)(2).</w:t>
      </w:r>
    </w:p>
    <w:p w:rsidR="00800BE7" w:rsidRDefault="00800BE7">
      <w:pPr>
        <w:widowControl/>
        <w:ind w:left="1440" w:firstLine="720"/>
        <w:jc w:val="both"/>
      </w:pPr>
      <w:r>
        <w:rPr>
          <w:b/>
          <w:bCs/>
        </w:rPr>
        <w:t>Note.</w:t>
      </w:r>
      <w:r>
        <w:t xml:space="preserve">  The decedent also died owning annuities with a value of $472,956.  The Tax Court also held that the value of the annuities was includible in the decedent’s gross estate under Section 2039(a).  The executor argued that the deduction allowed for the estate tax on these annuities under Section 691(c) should negate the estate tax, but the court pointed out that this deduction is an income tax deduction, rather than an estate tax deduction.</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2053.  Expenses, Indebtedness and Taxes</w:t>
      </w:r>
      <w:r>
        <w:rPr>
          <w:b/>
          <w:bCs/>
        </w:rPr>
        <w:fldChar w:fldCharType="begin"/>
      </w:r>
      <w:r w:rsidR="00800BE7">
        <w:rPr>
          <w:b/>
          <w:bCs/>
        </w:rPr>
        <w:instrText>tc \l2 "Field result goes here</w:instrText>
      </w:r>
      <w:r w:rsidR="00800BE7">
        <w:rPr>
          <w:b/>
          <w:bCs/>
        </w:rPr>
        <w:tab/>
        <w:instrText>Code § 2053.  Expenses, Indebtedness and Taxes</w:instrText>
      </w:r>
      <w:r>
        <w:rPr>
          <w:b/>
          <w:bCs/>
        </w:rP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Palimony Claim Might Be Deductible for Estate Tax Purposes.  </w:t>
      </w:r>
      <w:r w:rsidR="00800BE7">
        <w:rPr>
          <w:b/>
          <w:bCs/>
          <w:i/>
          <w:iCs/>
        </w:rPr>
        <w:t>Shapiro v. United States</w:t>
      </w:r>
      <w:r w:rsidR="00800BE7">
        <w:rPr>
          <w:b/>
          <w:bCs/>
        </w:rPr>
        <w:t>, 634 F.3d 1055 (9</w:t>
      </w:r>
      <w:r w:rsidR="00800BE7">
        <w:rPr>
          <w:b/>
          <w:bCs/>
          <w:vertAlign w:val="superscript"/>
        </w:rPr>
        <w:t>th</w:t>
      </w:r>
      <w:r w:rsidR="00800BE7">
        <w:rPr>
          <w:b/>
          <w:bCs/>
        </w:rPr>
        <w:t xml:space="preserve"> Cir. Feb. 22, 2011)</w:t>
      </w:r>
      <w:r>
        <w:rPr>
          <w:b/>
          <w:bCs/>
        </w:rPr>
        <w:fldChar w:fldCharType="begin"/>
      </w:r>
      <w:r w:rsidR="00800BE7">
        <w:rPr>
          <w:b/>
          <w:bCs/>
        </w:rPr>
        <w:instrText>tc \l3 "Field result goes here</w:instrText>
      </w:r>
      <w:r w:rsidR="00800BE7">
        <w:rPr>
          <w:b/>
          <w:bCs/>
        </w:rPr>
        <w:tab/>
        <w:instrText xml:space="preserve">Palimony Claim Might Be Deductible for Estate Tax Purposes.  </w:instrText>
      </w:r>
      <w:r w:rsidR="00800BE7">
        <w:rPr>
          <w:b/>
          <w:bCs/>
          <w:i/>
          <w:iCs/>
        </w:rPr>
        <w:instrText>Shapiro v. United States</w:instrText>
      </w:r>
      <w:r w:rsidR="00800BE7">
        <w:rPr>
          <w:b/>
          <w:bCs/>
        </w:rPr>
        <w:instrText>, 634 F.3d 1055 (9</w:instrText>
      </w:r>
      <w:r w:rsidR="00800BE7">
        <w:rPr>
          <w:b/>
          <w:bCs/>
          <w:vertAlign w:val="superscript"/>
        </w:rPr>
        <w:instrText>th</w:instrText>
      </w:r>
      <w:r w:rsidR="00800BE7">
        <w:rPr>
          <w:b/>
          <w:bCs/>
        </w:rPr>
        <w:instrText xml:space="preserve"> Cir. Feb. 22,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Bernard and Cora Jane lived together for 22 years but never married.  Cora Jean cooked, cleaned, and managed the household employees, including a gardener, housekeeper, and pool man.  Bernard paid for Cora Jean’s living expenses and provided her with a weekly allow</w:t>
      </w:r>
      <w:r>
        <w:softHyphen/>
        <w:t>ance.  The separated after Cora Jean found out that Bernard was involved with another woman.  After they separated, Cora Jane filed suit against Bernard, seeking damages for breach of an express and implied contract, breach of fiduciary duty, and quantum merit, under applicable state law (Nevada).  Cora Jean claimed she and Bernard had agreed to pool their resources and to share equally in each others' assets. Bernard died while the suit was pending.  Ultimately, a jury found for the estate, and while the case was on appeal, the suit was settled for $1 million.  After settling the case, the estate deducted $8 million under Section 2053(a)(3), for the value of the claim.  The IRS assessed a deficiency.  The estate paid and sued for a $2 million refund. The estate’s expert thereafter valued the claim at just over $5 million as of the date of death, and the estate amended its claim to request a refund for the decrease in property value due to notices of lis pendens recorded by Cora Jean on Bernard’s properties during her lawsuit.</w:t>
      </w:r>
    </w:p>
    <w:p w:rsidR="00800BE7" w:rsidRDefault="00800BE7">
      <w:pPr>
        <w:widowControl/>
        <w:ind w:left="2160" w:firstLine="720"/>
        <w:jc w:val="both"/>
      </w:pPr>
      <w:r>
        <w:t>The U.S. District Court for Nevada granted the IRS summary judgment, finding that Cora Jean’s housekeeping services were not sufficient consideration for the support she received from Bernard, and that there was no valid contract between them.  The court, therefore, held that no deduction was allowable for the value of the claim made by Cora Jean against Bernard’s estate.</w:t>
      </w: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 xml:space="preserve">The Ninth Circuit (Judge Silverman) reversed, finding that district court was wrong when it concluded that Cora Jean lacked a valid contract claim.  The court discussed </w:t>
      </w:r>
      <w:r>
        <w:rPr>
          <w:i/>
          <w:iCs/>
        </w:rPr>
        <w:t>Hay v. Hay</w:t>
      </w:r>
      <w:r>
        <w:t>, 678 P.2d 672 (Nev. 1984), in which the Nevada Supreme Court adopted the California rule that “courts should enforce express or implied contracts between nonmarital partners except when such a contract is insepara</w:t>
      </w:r>
      <w:r>
        <w:softHyphen/>
        <w:t xml:space="preserve">bly based upon the provision of sexual services.”  The court disagreed with the trial judge that, as a matter of law, Cora Jean had not provided sufficient consideration to support a contract under Nevada law.  This was, the court stated, a factual question that precludes summary judgment.  The court remanded the case to the trial judge both to redetermine the issue of the sufficiency of the consideration and the value of the claim.  The appeals court also affirmed the </w:t>
      </w:r>
      <w:r>
        <w:lastRenderedPageBreak/>
        <w:t>district court’s grant of summary judgment to the IRS on the estate’s claim for a deduction because of the reduction in property value caused by the notices of lis pendens filed by Cora Jean on a number of Bernard’s properties.  The court stated that the estate had abandoned this claim by failing to raise it in opposition to the United States' motion for complete summary judgment.</w:t>
      </w:r>
    </w:p>
    <w:p w:rsidR="00800BE7" w:rsidRDefault="00800BE7">
      <w:pPr>
        <w:widowControl/>
        <w:ind w:left="2160" w:firstLine="720"/>
        <w:jc w:val="both"/>
      </w:pPr>
      <w:r>
        <w:t xml:space="preserve">In a separate opinion, Judge Tashima disagreed with the majority's disposition of the issue of the valuation of the claim for federal estate tax purposes.  The dissent argued that the case should turn on federal tax law, rather than state contract law, and that the estate had to show that the claim was supported by full consideration in money's worth.  This, the dissent noted, is not met merely because a claim is "legally binding and enforceable against [an] estate" under state law. </w:t>
      </w:r>
      <w:r>
        <w:rPr>
          <w:i/>
          <w:iCs/>
        </w:rPr>
        <w:t>Taft v. Comm'r</w:t>
      </w:r>
      <w:r>
        <w:t xml:space="preserve">, 304 U.S. 351, 355 (1938); </w:t>
      </w:r>
      <w:r>
        <w:rPr>
          <w:i/>
          <w:iCs/>
        </w:rPr>
        <w:t>United States v. Stapf</w:t>
      </w:r>
      <w:r>
        <w:t>, 375 U.S. 118, 131 (1963).  Cora Jean, as Bernard’s long</w:t>
      </w:r>
      <w:r>
        <w:noBreakHyphen/>
        <w:t>term romantic partner, was a natural object of his bounty, so the claim had to be supported by adequate and full consideration that is "a non</w:t>
      </w:r>
      <w:r>
        <w:noBreakHyphen/>
        <w:t>zero sum which augmented the decedent's estate."  Thus, the estate had not, the dissent stated, raised a genuine issue of material fact to support its contention that the claim, even assuming that it was contracted bona fide, was supported by full consideration in money's worth for the purpose of federal tax law.</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Tax Court Denies Advance Deduction of Pending Malpractice Claim Against Decedent’s Estate.  </w:t>
      </w:r>
      <w:r w:rsidR="00800BE7">
        <w:rPr>
          <w:b/>
          <w:bCs/>
          <w:i/>
          <w:iCs/>
        </w:rPr>
        <w:t>Estate of Saunders v. Comm’r</w:t>
      </w:r>
      <w:r w:rsidR="00800BE7">
        <w:rPr>
          <w:b/>
          <w:bCs/>
        </w:rPr>
        <w:t>, 136 T.C. ___ (No. 18) (April 28, 2011)</w:t>
      </w:r>
      <w:r>
        <w:rPr>
          <w:b/>
          <w:bCs/>
        </w:rPr>
        <w:fldChar w:fldCharType="begin"/>
      </w:r>
      <w:r w:rsidR="00800BE7">
        <w:rPr>
          <w:b/>
          <w:bCs/>
        </w:rPr>
        <w:instrText>tc \l3 "Field result goes here</w:instrText>
      </w:r>
      <w:r w:rsidR="00800BE7">
        <w:rPr>
          <w:b/>
          <w:bCs/>
        </w:rPr>
        <w:tab/>
        <w:instrText xml:space="preserve">Tax Court Denies Advance Deduction of Pending Malpractice Claim Against Decedent’s Estate.  </w:instrText>
      </w:r>
      <w:r w:rsidR="00800BE7">
        <w:rPr>
          <w:b/>
          <w:bCs/>
          <w:i/>
          <w:iCs/>
        </w:rPr>
        <w:instrText>Estate of Saunders v. Comm’r</w:instrText>
      </w:r>
      <w:r w:rsidR="00800BE7">
        <w:rPr>
          <w:b/>
          <w:bCs/>
        </w:rPr>
        <w:instrText>, 136 T.C. ___ (No. 18) (April 28, 2011)</w:instrText>
      </w:r>
      <w:r>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Gertrude Saunders' husband, William, had represented Harry Stonehill in some extensive tax litigation.  After 10 years of litigation, Stonehill’s litigation counsel obtained documents that suggested that William had informed the IRS that Stonehill maintained a secret Swiss bank account, and that this disclosure had led to tax fraud charges against Stonehill.  Suit was then filed against William and, later, his estate, for legal malpractice, breach of confidence, breach of duty of loyalty, and fraudulent concealment.  The suits asked for over $90 million in compensatory damages, plus additional punitive damages.  The attorneys for William’s estate found no relevant or material evidence that would help the defense, because of the significant passage of time from the date of the alleged misconduct and the date the claims were made.  In 2007, a jury held that William had breached his fiduciary duty and his duty of confidentiality and undivided loyalty, but that these had not caused damage to Stonehill or his estate.  The Stonehill estate appealed, but ultimately the litigation was settled with a payment of $250,000 and waiver of the award to Saunders of $289,000 in costs.  The decedent’s executors deducted $30 million for the value of the claim outstanding on the date of her death in 2004, based on an independent professional appraisal.</w:t>
      </w:r>
    </w:p>
    <w:p w:rsidR="00800BE7" w:rsidRDefault="00800BE7">
      <w:pPr>
        <w:widowControl/>
        <w:ind w:left="2160" w:firstLine="720"/>
        <w:jc w:val="both"/>
      </w:pPr>
      <w:r>
        <w:t>The Tax Court (Judge Cohen) held that the estate could deduct only the amounts it actually paid.  The decedent had died before the final regulations under Section 2053 were issued, but the court held that the claim was still too uncertain to be deducted based on estimates as of the date of death.  Treas. Reg. § 20.2053</w:t>
      </w:r>
      <w:r>
        <w:noBreakHyphen/>
        <w:t>1(b)(3), before the 2009 amendments, stated that the value of a claim against a decedent’s estate may be deducted “though its exact amount is not then known, provided it is ascertainable with reasonable certainty, and will be paid.”  In this case, the court held that there was no clear value to the claim and that it was unclear whether it would ever be paid.  The court held that a claim is not reasonably certain and deductible merely because an appraiser can attempt to value it, and that appraisals submitted by the IRS and the taxpayer both suggested a lack of reasonable certainty.</w:t>
      </w:r>
    </w:p>
    <w:p w:rsidR="00800BE7" w:rsidRDefault="00800BE7">
      <w:pPr>
        <w:widowControl/>
        <w:jc w:val="both"/>
      </w:pPr>
    </w:p>
    <w:p w:rsidR="00800BE7" w:rsidRDefault="00BC7053">
      <w:pPr>
        <w:keepNext/>
        <w:keepLines/>
        <w:widowControl/>
        <w:tabs>
          <w:tab w:val="left" w:pos="-1445"/>
          <w:tab w:val="left" w:pos="-725"/>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2155" w:hanging="720"/>
        <w:jc w:val="both"/>
      </w:pPr>
      <w:r>
        <w:rPr>
          <w:b/>
          <w:bCs/>
        </w:rPr>
        <w:fldChar w:fldCharType="begin"/>
      </w:r>
      <w:r w:rsidR="00800BE7">
        <w:rPr>
          <w:b/>
          <w:bCs/>
        </w:rPr>
        <w:instrText>LISTNUM Outline \l 3</w:instrText>
      </w:r>
      <w:r>
        <w:rPr>
          <w:b/>
          <w:bCs/>
        </w:rPr>
        <w:fldChar w:fldCharType="end"/>
      </w:r>
      <w:r w:rsidR="00800BE7">
        <w:rPr>
          <w:b/>
          <w:bCs/>
        </w:rPr>
        <w:tab/>
        <w:t xml:space="preserve">Estate Denied Deduction for Son's Care Giver Compensation, but May Deduct Administrator's Commission and Some Legal Fees.  </w:t>
      </w:r>
      <w:r w:rsidR="00800BE7">
        <w:rPr>
          <w:b/>
          <w:bCs/>
          <w:i/>
          <w:iCs/>
        </w:rPr>
        <w:t>Estate of Olivo v. Comm’r</w:t>
      </w:r>
      <w:r w:rsidR="00800BE7">
        <w:rPr>
          <w:b/>
          <w:bCs/>
        </w:rPr>
        <w:t>, T.C. Memo. 2011-163 (July 11, 2011)</w:t>
      </w:r>
      <w:r>
        <w:rPr>
          <w:b/>
          <w:bCs/>
        </w:rPr>
        <w:fldChar w:fldCharType="begin"/>
      </w:r>
      <w:r w:rsidR="00800BE7">
        <w:rPr>
          <w:b/>
          <w:bCs/>
        </w:rPr>
        <w:instrText>tc \l3 "Field result goes here</w:instrText>
      </w:r>
      <w:r w:rsidR="00800BE7">
        <w:rPr>
          <w:b/>
          <w:bCs/>
        </w:rPr>
        <w:tab/>
        <w:instrText xml:space="preserve">Estate Denied Deduction for Son's Care Giver Compensation, but May Deduct Administrator's Commission and Some Legal Fees.  </w:instrText>
      </w:r>
      <w:r w:rsidR="00800BE7">
        <w:rPr>
          <w:b/>
          <w:bCs/>
          <w:i/>
          <w:iCs/>
        </w:rPr>
        <w:instrText>Estate of Olivo v. Comm’r</w:instrText>
      </w:r>
      <w:r w:rsidR="00800BE7">
        <w:rPr>
          <w:b/>
          <w:bCs/>
        </w:rPr>
        <w:instrText>, T.C. Memo. 2011-163 (July 11, 2011)</w:instrText>
      </w:r>
      <w:r>
        <w:rPr>
          <w:b/>
          <w:bCs/>
        </w:rPr>
        <w:fldChar w:fldCharType="end"/>
      </w:r>
    </w:p>
    <w:p w:rsidR="00800BE7" w:rsidRDefault="00800BE7">
      <w:pPr>
        <w:keepNext/>
        <w:keepLines/>
        <w:widowControl/>
        <w:ind w:left="-5"/>
        <w:jc w:val="both"/>
      </w:pPr>
    </w:p>
    <w:p w:rsidR="00800BE7" w:rsidRDefault="00800BE7">
      <w:pPr>
        <w:keepNext/>
        <w:keepLines/>
        <w:widowControl/>
        <w:ind w:left="-5"/>
        <w:jc w:val="both"/>
        <w:sectPr w:rsidR="00800BE7">
          <w:type w:val="continuous"/>
          <w:pgSz w:w="12240" w:h="15840"/>
          <w:pgMar w:top="1440" w:right="1440" w:bottom="1440" w:left="1440" w:header="1440" w:footer="1440" w:gutter="0"/>
          <w:cols w:space="720"/>
          <w:noEndnote/>
        </w:sectPr>
      </w:pPr>
    </w:p>
    <w:p w:rsidR="00800BE7" w:rsidRDefault="00800BE7">
      <w:pPr>
        <w:keepLines/>
        <w:widowControl/>
        <w:ind w:left="2160"/>
        <w:jc w:val="both"/>
      </w:pPr>
      <w:r>
        <w:lastRenderedPageBreak/>
        <w:t>Anthony Olivo, the administrator of the estate of his late mother, took care of her for nearly a decade, while she suffered from severe medical conditions.  He had to provide regular insulin tests and injections, and substantial other round-the-clock care.  Providing for her resulted in the disbanding of his sole practice as a tax attorney.  Anthony kept good records of his care for his mother.  Anthony filed an estate tax return claiming a $44,200 deduction for the statutory amount to which he would be entitled as a commission for his services as administrator of the estate, a $50,000 deduction for the estimated attorney's fees, a $5,000 deduction for estimated accountant's fees, and a $1,240,000 deduction for an alleged debt owed to him by the estate for the care he provided to the decedent during her lifetime, pursuant to an alleged agreement he had with her to compensate him for his services.  None of these amounts had been paid when the estate tax return was filed.  The IRS disallowed all of the deductions.</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The Tax Court (Judge Wells) agreed with the IRS that no deduction was allowable for the $1,240,000 claimed compensation for Anthony’s care of his mother, but it sustained the deduction for his administrator commission and the attorney fees he incurred in contesting the deficiency.  The court noted that the alleged agreement between Anthony and the decedent was supported only by the testimony of Anthony.  The court stated that it “not accept testimony that is improbable, self</w:t>
      </w:r>
      <w:r>
        <w:noBreakHyphen/>
        <w:t>serving, and uncorroborated by other evi</w:t>
      </w:r>
      <w:r>
        <w:softHyphen/>
        <w:t xml:space="preserve">dence.”  See, </w:t>
      </w:r>
      <w:r>
        <w:rPr>
          <w:i/>
          <w:iCs/>
        </w:rPr>
        <w:t>e.g., Baird v. Comm’r</w:t>
      </w:r>
      <w:r>
        <w:t xml:space="preserve">, 438 F.2d 490, 493 (3d Cir. 1970), </w:t>
      </w:r>
      <w:r>
        <w:rPr>
          <w:i/>
          <w:iCs/>
        </w:rPr>
        <w:t>vacating</w:t>
      </w:r>
      <w:r>
        <w:t xml:space="preserve"> T.C. Memo. 1969</w:t>
      </w:r>
      <w:r>
        <w:noBreakHyphen/>
        <w:t xml:space="preserve">67; </w:t>
      </w:r>
      <w:r>
        <w:rPr>
          <w:i/>
          <w:iCs/>
        </w:rPr>
        <w:t>Shea v. Comm’r</w:t>
      </w:r>
      <w:r>
        <w:t xml:space="preserve">, 112 T.C. 183, 189 (1999); </w:t>
      </w:r>
      <w:r>
        <w:rPr>
          <w:i/>
          <w:iCs/>
        </w:rPr>
        <w:t>Tokarski v. Comm’r</w:t>
      </w:r>
      <w:r>
        <w:t>, 87 T.C. 74, 77 (1986).  The court rejected Anthony's testimony as “highly questionable,” finding that if there were such an agreement, he would have reduced it to writing, especially in light of his legal training and experience, the contentious nature of the probate of the estate of his father, who predeceased his mother, the apparent animosity between Anthony and his sister, Emilia, and Anthony’s obvious interest in ensuring that he would receive compen</w:t>
      </w:r>
      <w:r>
        <w:softHyphen/>
        <w:t xml:space="preserve">sation from the decedent.  The court also rejected the argument that Anthony was entitled to some recovery under </w:t>
      </w:r>
      <w:r>
        <w:rPr>
          <w:i/>
          <w:iCs/>
        </w:rPr>
        <w:t>quantum meruit</w:t>
      </w:r>
      <w:r>
        <w:t xml:space="preserve">, because applicable state law presumes that services rendered to a family member living in the same household are rendered gratuitously.  </w:t>
      </w:r>
      <w:r>
        <w:rPr>
          <w:i/>
          <w:iCs/>
        </w:rPr>
        <w:t>Waker v. Bergen</w:t>
      </w:r>
      <w:r>
        <w:t>, 132 A. 669, 669</w:t>
      </w:r>
      <w:r>
        <w:noBreakHyphen/>
        <w:t xml:space="preserve">670 (N.J. 1926); </w:t>
      </w:r>
      <w:r>
        <w:rPr>
          <w:i/>
          <w:iCs/>
        </w:rPr>
        <w:t>Disbrow v. Durand</w:t>
      </w:r>
      <w:r>
        <w:t xml:space="preserve">, 24 A. 545, 546 (N.J. 1892).  Anthony’s testimony did not overcome this presumption by a preponderance of the evidence.  The court did allow deduction for the administrator's commission that had been or would be paid to Anthony, finding that the estate was entitled to a deduction under the then-applicable regulations if: (1) the district director was reasonably satisfied that the commissions claimed will be paid; (2) the amount claimed as a </w:t>
      </w:r>
      <w:r>
        <w:lastRenderedPageBreak/>
        <w:t>deduction is within the amount allowable by the laws of the jurisdiction in which the estate is being administered; and (3) it is in accordance with the usually accepted practice in the jurisdiction to allow such an amount in estates of similar size and character.  Treas. Reg. § 20.2053</w:t>
      </w:r>
      <w:r>
        <w:noBreakHyphen/>
        <w:t>3(b)(1).  The court noted that the estate only claimed a deduction for $44,200, but that the statutory fee schedule entitled Anthony to $52,223.28, and stated that the estate can deduct the full $52,223.28 commission, if it actually paid it.  The court denied the deduction of $55,400 for legal fees incurred by the estate, noting that it found evidence that Anthony performed some legal services for the estate, in addition to his services as administrator, but that he kept no records of the time he spent performing legal services for the estate – he merely estimated the number of hours and used a billing rate of $150 per hour.</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Deduction for Interest on </w:t>
      </w:r>
      <w:r w:rsidR="00800BE7">
        <w:rPr>
          <w:b/>
          <w:bCs/>
          <w:i/>
          <w:iCs/>
        </w:rPr>
        <w:t xml:space="preserve">Graegin </w:t>
      </w:r>
      <w:r w:rsidR="00800BE7">
        <w:rPr>
          <w:b/>
          <w:bCs/>
        </w:rPr>
        <w:t xml:space="preserve">(and Other) Loans to Pay Estate Taxes.  </w:t>
      </w:r>
      <w:r w:rsidR="00800BE7">
        <w:rPr>
          <w:b/>
          <w:bCs/>
          <w:i/>
          <w:iCs/>
        </w:rPr>
        <w:t>Estate of Stick v. Comm’r</w:t>
      </w:r>
      <w:r w:rsidR="00800BE7">
        <w:rPr>
          <w:b/>
          <w:bCs/>
        </w:rPr>
        <w:t>, T.C. Memo. 2010</w:t>
      </w:r>
      <w:r w:rsidR="00800BE7">
        <w:rPr>
          <w:b/>
          <w:bCs/>
        </w:rPr>
        <w:noBreakHyphen/>
        <w:t xml:space="preserve">192 (Sept. 1, 2010); </w:t>
      </w:r>
      <w:r w:rsidR="00800BE7">
        <w:rPr>
          <w:b/>
          <w:bCs/>
          <w:i/>
          <w:iCs/>
        </w:rPr>
        <w:t>Keller v. United States</w:t>
      </w:r>
      <w:r w:rsidR="00800BE7">
        <w:rPr>
          <w:b/>
          <w:bCs/>
        </w:rPr>
        <w:t>, 2010 WL 3700841, 106 A.F.T.R.2d 2010</w:t>
      </w:r>
      <w:r w:rsidR="00800BE7">
        <w:rPr>
          <w:b/>
          <w:bCs/>
        </w:rPr>
        <w:noBreakHyphen/>
        <w:t>6309 (S.D. Tex. Sept. 14, 2010) (slip copy)</w:t>
      </w:r>
      <w:r>
        <w:rPr>
          <w:b/>
          <w:bCs/>
        </w:rPr>
        <w:fldChar w:fldCharType="begin"/>
      </w:r>
      <w:r w:rsidR="00800BE7">
        <w:rPr>
          <w:b/>
          <w:bCs/>
        </w:rPr>
        <w:instrText>tc \l3 "Field result goes here</w:instrText>
      </w:r>
      <w:r w:rsidR="00800BE7">
        <w:rPr>
          <w:b/>
          <w:bCs/>
        </w:rPr>
        <w:tab/>
        <w:instrText xml:space="preserve">Deduction for Interest on </w:instrText>
      </w:r>
      <w:r w:rsidR="00800BE7">
        <w:rPr>
          <w:b/>
          <w:bCs/>
          <w:i/>
          <w:iCs/>
        </w:rPr>
        <w:instrText xml:space="preserve">Graegin </w:instrText>
      </w:r>
      <w:r w:rsidR="00800BE7">
        <w:rPr>
          <w:b/>
          <w:bCs/>
        </w:rPr>
        <w:instrText xml:space="preserve">(and Other) Loans to Pay Estate Taxes.  </w:instrText>
      </w:r>
      <w:r w:rsidR="00800BE7">
        <w:rPr>
          <w:b/>
          <w:bCs/>
          <w:i/>
          <w:iCs/>
        </w:rPr>
        <w:instrText>Estate of Stick v. Comm’r</w:instrText>
      </w:r>
      <w:r w:rsidR="00800BE7">
        <w:rPr>
          <w:b/>
          <w:bCs/>
        </w:rPr>
        <w:instrText>, T.C. Memo. 2010</w:instrText>
      </w:r>
      <w:r w:rsidR="00800BE7">
        <w:rPr>
          <w:b/>
          <w:bCs/>
        </w:rPr>
        <w:noBreakHyphen/>
        <w:instrText xml:space="preserve">192 (Sept. 1, 2010); </w:instrText>
      </w:r>
      <w:r w:rsidR="00800BE7">
        <w:rPr>
          <w:b/>
          <w:bCs/>
          <w:i/>
          <w:iCs/>
        </w:rPr>
        <w:instrText>Keller v. United States</w:instrText>
      </w:r>
      <w:r w:rsidR="00800BE7">
        <w:rPr>
          <w:b/>
          <w:bCs/>
        </w:rPr>
        <w:instrText>, 2010 WL 3700841, 106 A.F.T.R.2d 2010</w:instrText>
      </w:r>
      <w:r w:rsidR="00800BE7">
        <w:rPr>
          <w:b/>
          <w:bCs/>
        </w:rPr>
        <w:noBreakHyphen/>
        <w:instrText>6309 (S.D. Tex. Sept. 14, 2010) (slip copy)</w:instrText>
      </w:r>
      <w:r>
        <w:rPr>
          <w:b/>
          <w:bCs/>
        </w:rPr>
        <w:fldChar w:fldCharType="end"/>
      </w:r>
    </w:p>
    <w:p w:rsidR="00800BE7" w:rsidRDefault="00800BE7">
      <w:pPr>
        <w:keepNext/>
        <w:keepLines/>
        <w:widowControl/>
        <w:jc w:val="both"/>
      </w:pPr>
    </w:p>
    <w:p w:rsidR="00800BE7" w:rsidRDefault="00800BE7">
      <w:pPr>
        <w:keepLines/>
        <w:widowControl/>
        <w:tabs>
          <w:tab w:val="left" w:pos="-1440"/>
        </w:tabs>
        <w:ind w:left="2880" w:hanging="720"/>
        <w:jc w:val="both"/>
      </w:pPr>
      <w:r>
        <w:rPr>
          <w:b/>
          <w:bCs/>
        </w:rPr>
        <w:t>·</w:t>
      </w:r>
      <w:r>
        <w:rPr>
          <w:b/>
          <w:bCs/>
        </w:rPr>
        <w:tab/>
      </w:r>
      <w:r>
        <w:rPr>
          <w:b/>
          <w:bCs/>
          <w:i/>
          <w:iCs/>
        </w:rPr>
        <w:t>Estate of Stick</w:t>
      </w:r>
      <w:r>
        <w:rPr>
          <w:b/>
          <w:bCs/>
        </w:rPr>
        <w:t>.</w:t>
      </w:r>
      <w:r>
        <w:t xml:space="preserve">  The trustee of the residuary trust of the estate of Henry Stick borrowed $1,500,000 from the Stick Foundation to pay federal and state estate taxes.  The principal of the loan was to be repaid after 10 years with interest accruing and to be paid annually.  The opinion does not state, but it appears that this was a </w:t>
      </w:r>
      <w:r>
        <w:rPr>
          <w:i/>
          <w:iCs/>
        </w:rPr>
        <w:t>Graegin</w:t>
      </w:r>
      <w:r>
        <w:t>-type loan.  The estate deducted the interest it had paid on the loan, and the IRS disallowed the deduction, arguing that the loan was not required to pay estate taxes.</w:t>
      </w:r>
    </w:p>
    <w:p w:rsidR="00800BE7" w:rsidRDefault="00800BE7">
      <w:pPr>
        <w:widowControl/>
        <w:ind w:left="2880" w:firstLine="720"/>
        <w:jc w:val="both"/>
      </w:pPr>
      <w:r>
        <w:t>The Tax Court (Judge Nims) held for the IRS, finding that the estate had ample liquid assets to pay its estate taxes without a loan.  The court also held that the estate tax deduc</w:t>
      </w:r>
      <w:r>
        <w:softHyphen/>
        <w:t xml:space="preserve">tion was not precluded by the fact that the estate first claimed the deduction on its fiduciary income tax return, because Section 642(g) only prevents an estate from first deducting interest as an estate tax deduction and thereafter deducting it for income tax purposes.  See </w:t>
      </w:r>
      <w:r>
        <w:rPr>
          <w:i/>
          <w:iCs/>
        </w:rPr>
        <w:t>Estate of Keitel v. Comm’r</w:t>
      </w:r>
      <w:r>
        <w:t>, T.C. Memo. 1990</w:t>
      </w:r>
      <w:r>
        <w:noBreakHyphen/>
        <w:t>416; Rev. Rul. 81</w:t>
      </w:r>
      <w:r>
        <w:noBreakHyphen/>
        <w:t>287, 1981</w:t>
      </w:r>
      <w:r>
        <w:noBreakHyphen/>
        <w:t>2 C.B. 183.</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r>
      <w:r>
        <w:rPr>
          <w:b/>
          <w:bCs/>
          <w:i/>
          <w:iCs/>
        </w:rPr>
        <w:t>Keller</w:t>
      </w:r>
      <w:r>
        <w:rPr>
          <w:b/>
          <w:bCs/>
        </w:rPr>
        <w:t>.</w:t>
      </w:r>
      <w:r>
        <w:t xml:space="preserve">  Maude Williams died in 2000, leaving a $383 million estate with a $143 million estate tax liability.  The estate paid, among other things, $2.64 million in legal fees, $2.28 million in accounting fees, $52 million for interest on a loan from a family partnership, and $15 million for executor/trustee fees.</w:t>
      </w:r>
    </w:p>
    <w:p w:rsidR="00800BE7" w:rsidRDefault="00800BE7">
      <w:pPr>
        <w:widowControl/>
        <w:tabs>
          <w:tab w:val="left" w:pos="-1440"/>
        </w:tabs>
        <w:ind w:left="288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The District Court (Judge Rainey) disallowed $12 million in claimed deductions for trustee fees paid to the various family members and $9.5 million in legal contingency fees, but allowed the deduction of $60.4 million for interest, fees and administrative expenses.  The IRS argued that the loan from the family partnership to the two trusts managed by the decedent lacked economic substance.  The court disagreed, finding that the loan satisfied the economic substance test.  The court applied “a multi</w:t>
      </w:r>
      <w:r>
        <w:noBreakHyphen/>
        <w:t xml:space="preserve">factor test for when a transaction must be honored as legitimate for tax purposes, with factors including whether the transaction (1) has economic substance compelled by business or regulatory realities, (2) is imbued with independent tax consideration, and (3) is not shaped totally by tax avoidance features.”  </w:t>
      </w:r>
      <w:r>
        <w:rPr>
          <w:i/>
          <w:iCs/>
        </w:rPr>
        <w:t>Klamath Strategic Inv. Fund v. United States</w:t>
      </w:r>
      <w:r>
        <w:t xml:space="preserve">, 568 F.3d 537, 544 (5th Cir. 2009); also </w:t>
      </w:r>
      <w:r>
        <w:rPr>
          <w:i/>
          <w:iCs/>
        </w:rPr>
        <w:t>Kimbell v. United States</w:t>
      </w:r>
      <w:r>
        <w:t>, 371 F.3d 257, 264 (5th Cir. 2004).  The court held that the loan had economic substance, because it was entered into to preserve estate liquidity, it actually imposed a liability on the makers in the event of a default, interest was applied at the applicable federal rate, and the trusts actually paid millions of dollars of interest on the loan.  The IRS argued that the trusts were not subject to claims and that, under Section 2053(b), payments of interest made more than three years after the estate tax return was filed were not deductible.  The court held that the trusts were subject to claims under applicable state law (Texas), even though they were not part of the probate estate.</w:t>
      </w:r>
    </w:p>
    <w:p w:rsidR="00800BE7" w:rsidRDefault="00800BE7">
      <w:pPr>
        <w:widowControl/>
        <w:ind w:left="2880" w:firstLine="720"/>
        <w:jc w:val="both"/>
      </w:pPr>
      <w:r>
        <w:t>The IRS also argued that a $2,362,461.00 contingency fee for payments to the accounting firm of which the executor was a member and a $9,470,606 contingency fee to the lawyers for the estate were not necessary and, therefore, not deductible.  The estate argued that, from the inception of the case, the firms agreed that they would receive an undefined bonus contingent on the recovery of a sizable refund.  The estate entered into revised fee agreements with the firms after the judge issued his initial findings of fact.  The court held that the contingent portion of the fees were not necessary adminis</w:t>
      </w:r>
      <w:r>
        <w:softHyphen/>
        <w:t>tration expenses and were not deductible.</w:t>
      </w:r>
    </w:p>
    <w:p w:rsidR="00800BE7" w:rsidRDefault="00800BE7">
      <w:pPr>
        <w:widowControl/>
        <w:ind w:left="2880" w:firstLine="720"/>
        <w:jc w:val="both"/>
      </w:pPr>
      <w:r>
        <w:t>The court also rejected deduction for $15 million in executor/trustee fees, of which $6 million was paid to the decedent’s daughter, and $3 million each to two of her grand</w:t>
      </w:r>
      <w:r>
        <w:softHyphen/>
        <w:t xml:space="preserve">sons.  The decedent’s financial advisor served as executor and received a $3 million fee.  The court stated that the record established that the financial advisor actually performed the role of executor, and that the payments to him were necessary </w:t>
      </w:r>
      <w:r>
        <w:lastRenderedPageBreak/>
        <w:t>and appropriate, but the payments to the other three named executors were not.</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2055, 2522.  Charitable Deduction</w:t>
      </w:r>
      <w:r>
        <w:fldChar w:fldCharType="begin"/>
      </w:r>
      <w:r w:rsidR="00800BE7">
        <w:instrText>tc \l2 "</w:instrText>
      </w:r>
      <w:r w:rsidR="00800BE7">
        <w:rPr>
          <w:b/>
          <w:bCs/>
        </w:rPr>
        <w:instrText>Field result goes here</w:instrText>
      </w:r>
      <w:r w:rsidR="00800BE7">
        <w:rPr>
          <w:b/>
          <w:bCs/>
        </w:rPr>
        <w:tab/>
        <w:instrText>Code §§ 2055, 2522.  Charitable Deduction</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Estate Can Deduct Amount Paid to Charitable Trust in Settlement of Dispute Over Will With No Residuary Clause.  </w:t>
      </w:r>
      <w:r w:rsidR="00800BE7">
        <w:rPr>
          <w:b/>
          <w:bCs/>
          <w:i/>
          <w:iCs/>
        </w:rPr>
        <w:t>Estate of Palumbo v. United States</w:t>
      </w:r>
      <w:r w:rsidR="00800BE7">
        <w:rPr>
          <w:b/>
          <w:bCs/>
        </w:rPr>
        <w:t>, 2011 WL 860418, 107 A.F.T.R.2d 2011</w:t>
      </w:r>
      <w:r w:rsidR="00800BE7">
        <w:rPr>
          <w:b/>
          <w:bCs/>
        </w:rPr>
        <w:noBreakHyphen/>
        <w:t>1274 (W.D. Pa. March 11, 2011) (slip copy)</w:t>
      </w:r>
      <w:r>
        <w:fldChar w:fldCharType="begin"/>
      </w:r>
      <w:r w:rsidR="00800BE7">
        <w:instrText>tc \l3 "</w:instrText>
      </w:r>
      <w:r w:rsidR="00800BE7">
        <w:rPr>
          <w:b/>
          <w:bCs/>
        </w:rPr>
        <w:instrText>Field result goes here</w:instrText>
      </w:r>
      <w:r w:rsidR="00800BE7">
        <w:rPr>
          <w:b/>
          <w:bCs/>
        </w:rPr>
        <w:tab/>
        <w:instrText xml:space="preserve">Estate Can Deduct Amount Paid to Charitable Trust in Settlement of Dispute Over Will With No Residuary Clause.  </w:instrText>
      </w:r>
      <w:r w:rsidR="00800BE7">
        <w:rPr>
          <w:b/>
          <w:bCs/>
          <w:i/>
          <w:iCs/>
        </w:rPr>
        <w:instrText>Estate of Palumbo v. United States</w:instrText>
      </w:r>
      <w:r w:rsidR="00800BE7">
        <w:rPr>
          <w:b/>
          <w:bCs/>
        </w:rPr>
        <w:instrText>, 2011 WL 860418, 107 A.F.T.R.2d 2011</w:instrText>
      </w:r>
      <w:r w:rsidR="00800BE7">
        <w:rPr>
          <w:b/>
          <w:bCs/>
        </w:rPr>
        <w:noBreakHyphen/>
        <w:instrText>1274 (W.D. Pa. March 11, 2011) (slip copy)</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Antonion Palumbo’s last will, which was amended by three codicils, failed to include a residuary clause, because of a scrivener’s error by the decedent’s lawyer.  The decedent’s son claimed that he was the ultimate beneficiary of the residue, because he was the sole intestate heir.  The trustee of the charitable trust claimed that it was the actual residuary legatee.  After bona fide and arm’s length negotiations, which included the son, the charity, and the state attorney general, the parties reached a settlement agreement, approved by a trial court, under which the charitable trust received $11.7 million of the residuary estate, and the decedent’s son received $5.6 million and certain real property.  The IRS denied the estate tax deduction for the $11.7 million passing to the charitable trust.</w:t>
      </w:r>
    </w:p>
    <w:p w:rsidR="00800BE7" w:rsidRDefault="00800BE7">
      <w:pPr>
        <w:widowControl/>
        <w:ind w:left="2160" w:firstLine="720"/>
        <w:jc w:val="both"/>
      </w:pPr>
      <w:r>
        <w:t>The U.S. District Court for the Western District of Pennsylvania (Judge Schwab) granted summary judgment to the decedent’s estate.  The court stated that Section 2055 was intended to encourage charitable giving, and that it should be broadly construed to accom</w:t>
      </w:r>
      <w:r>
        <w:softHyphen/>
        <w:t xml:space="preserve">plish that result.  The IRS argued that the charitable trust had no legally enforceable right to the residuary estate, so that there could be no </w:t>
      </w:r>
      <w:r>
        <w:rPr>
          <w:i/>
          <w:iCs/>
        </w:rPr>
        <w:t xml:space="preserve">bona fide </w:t>
      </w:r>
      <w:r>
        <w:t xml:space="preserve">dispute, and so no deduction should be allowed.  </w:t>
      </w:r>
      <w:r>
        <w:rPr>
          <w:i/>
          <w:iCs/>
        </w:rPr>
        <w:t>Bach v. McGinnes</w:t>
      </w:r>
      <w:r>
        <w:t xml:space="preserve">, 333 F.2d 979 (3d Cir. 1964).  The court disagreed, noting that the law of will construction, while normally limiting reference to the four corners of the document, also seeks to find the testator’s intent and does not favor an intestacy.  The court held that a state court could reasonably hold that the charity, which had been the residuary beneficiary under all prior instruments and which was omitted as residuary beneficiary only by an admitted scrivener’s error, was entitled to the estate.  As the dispute was bona fide, the court allowed the charitable deduction.  Citing </w:t>
      </w:r>
      <w:r>
        <w:rPr>
          <w:i/>
          <w:iCs/>
        </w:rPr>
        <w:t>Estate of Dumont v. Comm’r</w:t>
      </w:r>
      <w:r>
        <w:t>, 150 F.2d 691 (3d Cir. 1945).</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rPr>
          <w:b/>
          <w:bCs/>
        </w:rPr>
        <w:lastRenderedPageBreak/>
        <w:t>Note.</w:t>
      </w:r>
      <w:r>
        <w:t xml:space="preserve">  Generally, the charitable deduction is allowed for an outright distribution to charity made in settlement of a bona fide will contest, even if distribution under the actual terms of the will would not qualify for the charitable deduction.  The IRS will challenge the </w:t>
      </w:r>
      <w:r>
        <w:lastRenderedPageBreak/>
        <w:t>deduction under settlements of will contests when they think that the contest is not bona fide, that the charity has no real interest in the estate, or that the settlement is the result of collusive action.  Rev. Rul. 89</w:t>
      </w:r>
      <w:r>
        <w:noBreakHyphen/>
        <w:t>31, 1989</w:t>
      </w:r>
      <w:r>
        <w:noBreakHyphen/>
        <w:t xml:space="preserve">1 CB 277; also </w:t>
      </w:r>
      <w:r>
        <w:rPr>
          <w:i/>
          <w:iCs/>
        </w:rPr>
        <w:t>Flanagan v. United States</w:t>
      </w:r>
      <w:r>
        <w:t xml:space="preserve">, 810 F.2d 930 (10th Cir. 1987); </w:t>
      </w:r>
      <w:r>
        <w:rPr>
          <w:i/>
          <w:iCs/>
        </w:rPr>
        <w:t>Estate of Strock v. United States</w:t>
      </w:r>
      <w:r>
        <w:t xml:space="preserve">, 655 F. Supp. 1334 (W.D. Pa. 1987); </w:t>
      </w:r>
      <w:r>
        <w:rPr>
          <w:i/>
          <w:iCs/>
        </w:rPr>
        <w:t>Northern Trust Co. v. United States</w:t>
      </w:r>
      <w:r>
        <w:t>, 1977 WL 1340, 41 AFTR2d 78</w:t>
      </w:r>
      <w:r>
        <w:noBreakHyphen/>
        <w:t xml:space="preserve">1523 (N.D. Ill. 1977).  The validity of the holding in </w:t>
      </w:r>
      <w:r>
        <w:rPr>
          <w:i/>
          <w:iCs/>
        </w:rPr>
        <w:t>Palombo</w:t>
      </w:r>
      <w:r>
        <w:t xml:space="preserve"> turns on whether the district court correctly interpreted state law.  If the highest court of the state would likely agree that the evidence of the drafting attorney was admissible and believable, then the district court was correct and the $11.7 million was deductible.  Otherwise, it was wrong and no estate tax deduction should be allowed for that gift.  It would be arguable, however, that if no estate tax deduction is allowed because the charitable gift is deemed to have passed from the son, rather than the decedent, that an income tax deduction might be allowed the son.  See also Crawford, “Palumbo and the Estate Tax Charitable Deduction,” 131 Tax Notes 423 (Apr. 25, 2011).</w:t>
      </w:r>
    </w:p>
    <w:p w:rsidR="00800BE7" w:rsidRDefault="00800BE7">
      <w:pPr>
        <w:widowControl/>
        <w:ind w:left="2160" w:firstLine="720"/>
        <w:jc w:val="both"/>
      </w:pPr>
      <w:r>
        <w:t xml:space="preserve">Also note that, in a summary opinion filed April 22, 2011, the court denied attorney’s fees to the taxpayer, finding the IRS position substantially justified.  </w:t>
      </w:r>
      <w:r>
        <w:rPr>
          <w:i/>
          <w:iCs/>
        </w:rPr>
        <w:t>Estate of Palumbo v. United States</w:t>
      </w:r>
      <w:r>
        <w:t>, No. 2:10</w:t>
      </w:r>
      <w:r>
        <w:noBreakHyphen/>
        <w:t>cv</w:t>
      </w:r>
      <w:r>
        <w:noBreakHyphen/>
        <w:t>00760, 2011 TNT 79</w:t>
      </w:r>
      <w:r>
        <w:noBreakHyphen/>
        <w:t>9 (W.D. Pa. April 21, 2011).</w:t>
      </w:r>
    </w:p>
    <w:p w:rsidR="00800BE7" w:rsidRDefault="00800BE7">
      <w:pPr>
        <w:widowControl/>
        <w:ind w:left="2160" w:firstLine="720"/>
        <w:jc w:val="both"/>
      </w:pPr>
      <w:r>
        <w:t>See also Crawford, “Palumbo and the Estate Tax Charitable Deduction,” 131 Tax Notes 423 (2011).</w:t>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IRS Permits </w:t>
      </w:r>
      <w:r w:rsidR="00800BE7">
        <w:rPr>
          <w:b/>
          <w:bCs/>
          <w:i/>
          <w:iCs/>
        </w:rPr>
        <w:t>Post Mortem</w:t>
      </w:r>
      <w:r w:rsidR="00800BE7">
        <w:rPr>
          <w:b/>
          <w:bCs/>
        </w:rPr>
        <w:t xml:space="preserve"> Reformation to Change Nondeductible Interests into Qualified Deductible Charitable Split-Interests.  PLR 201125007 (June 24, 2011); PLR 201115003 (April 15, 2011)</w:t>
      </w:r>
      <w:r>
        <w:fldChar w:fldCharType="begin"/>
      </w:r>
      <w:r w:rsidR="00800BE7">
        <w:instrText>tc \l3 "</w:instrText>
      </w:r>
      <w:r w:rsidR="00800BE7">
        <w:rPr>
          <w:b/>
          <w:bCs/>
        </w:rPr>
        <w:instrText>Field result goes here</w:instrText>
      </w:r>
      <w:r w:rsidR="00800BE7">
        <w:rPr>
          <w:b/>
          <w:bCs/>
        </w:rPr>
        <w:tab/>
        <w:instrText xml:space="preserve">IRS Permits </w:instrText>
      </w:r>
      <w:r w:rsidR="00800BE7">
        <w:rPr>
          <w:b/>
          <w:bCs/>
          <w:i/>
          <w:iCs/>
        </w:rPr>
        <w:instrText>Post Mortem</w:instrText>
      </w:r>
      <w:r w:rsidR="00800BE7">
        <w:rPr>
          <w:b/>
          <w:bCs/>
        </w:rPr>
        <w:instrText xml:space="preserve"> Reformation to Change Nondeductible Interests into Qualified Deductible Charitable Split-Interests.  PLR 201125007 (June 24, 2011); PLR 201115003 (April 15, 2011)</w:instrText>
      </w:r>
      <w:r>
        <w:fldChar w:fldCharType="end"/>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PLR 201125007.</w:t>
      </w:r>
      <w:r>
        <w:t xml:space="preserve">  At D’s death, D’s revocable trust became irrevocable and provided that the assets, after the payment of Decedent’s debts and expenses and the distribution of certain tangible personal property to Niece, would be held in trust for Family Member and Foundation (a qualified charity).  Family Member is an elderly relative of D.  The terms of the trust require the trustee to pay for the health costs of Family Member for the rest of her life, and to pay the burial expenses of Family Member at her death.  The trust recognized that Family Member then resided in an assisted living facility with monthly expenses of $</w:t>
      </w:r>
      <w:r>
        <w:rPr>
          <w:u w:val="single"/>
        </w:rPr>
        <w:t>A</w:t>
      </w:r>
      <w:r>
        <w:t>, that those expenses could increase, and that the trustee should provide from principal any neces</w:t>
      </w:r>
      <w:r>
        <w:softHyphen/>
        <w:t xml:space="preserve">sary funds to meet these costs.  The executor of D’s estate hired a valuation expert to value Family Member’s interest in the trust, taking into account the foreseeable and ascertainable </w:t>
      </w:r>
      <w:r>
        <w:lastRenderedPageBreak/>
        <w:t>costs to fulfill the distribution standard.  D then obtained an order from a local court that the trust language created an ascertainable distribution standard requiring distributions for Family Member’s lifetime health, support, and maintenance, and reforming the trust by adding and modifying its terms to provide payout to Family Member for her lifetime equal to B percent of the initial value of the trust fund on D’s death, and to Foundation equal to C percent of the initial value (which together totaled five percent), and containing the other provi</w:t>
      </w:r>
      <w:r>
        <w:softHyphen/>
        <w:t>sions set forth in Rev. Proc. 2003</w:t>
      </w:r>
      <w:r>
        <w:noBreakHyphen/>
        <w:t>57, 2003</w:t>
      </w:r>
      <w:r>
        <w:noBreakHyphen/>
        <w:t xml:space="preserve">1 C.B. 257. </w:t>
      </w:r>
    </w:p>
    <w:p w:rsidR="00800BE7" w:rsidRDefault="00800BE7">
      <w:pPr>
        <w:widowControl/>
        <w:tabs>
          <w:tab w:val="left" w:pos="-1440"/>
        </w:tabs>
        <w:ind w:left="288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The executor sought a private ruling approving the reformation.  The IRS determined that the valuation expert had not used the correct methodology to value Family Member’s interest in the trust, and the executor sought a revised valua</w:t>
      </w:r>
      <w:r>
        <w:softHyphen/>
        <w:t>tion that considered the reasonable and foreseeable costs of health, maintenance, and support using actual records of expenses, cost estimates provided by the local funeral home, publicly available interest rates, AARP studies of nursing home rate increases, and bank trustee representations of administra</w:t>
      </w:r>
      <w:r>
        <w:softHyphen/>
        <w:t xml:space="preserve">tive costs.  Based on the revised valuation of the noncharitable interest, the executor obtained a modification of the original order adjusting the percentage of the annuity amount payable to Family Member and the percentage payable to Foundation. </w:t>
      </w:r>
    </w:p>
    <w:p w:rsidR="00800BE7" w:rsidRDefault="00800BE7">
      <w:pPr>
        <w:widowControl/>
        <w:ind w:left="2880" w:firstLine="720"/>
        <w:jc w:val="both"/>
      </w:pPr>
      <w:r>
        <w:t xml:space="preserve"> The IRS stated that the revised order properly reformed the trust under Section 2055(e)(3), and that an estate tax deduction would be allowed for the present value of Founda</w:t>
      </w:r>
      <w:r>
        <w:softHyphen/>
        <w:t xml:space="preserve">tion’s remainder interest in the CRAT.  The IRS noted that: (1) the charitable remainder interest in the trust, before reformation, was a “reformable interest,” because it created a charitable remainder interest that was presently ascertainable and severable from the noncharitable interest and that would have been deductible for estate tax purposes, but for the special rules on split-interest trusts.  Treas. Reg. § 20.2055 </w:t>
      </w:r>
      <w:r>
        <w:noBreakHyphen/>
        <w:t>2(a); (2) the actuarial value of the charitable remainder interest in the proposed Family Member CRAT will not differ by more than five percent from the actuarial value of those interests provided for prior to reformation; (3) the terms of Family Member CRAT provide for termination of Family Member’s interest at the same time both before and after the reformation; (4) the reformation will be effective as of the date of D's death; and (5) the reformation proceeding was started not later than 90 days after the last date (including extensions) for filing an estate tax return, if an estate tax return is required to be filed.</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t>201115003.</w:t>
      </w:r>
      <w:r>
        <w:t xml:space="preserve">  D’s will left the residue of his estate in trust to pay income to individuals A and B for their concurrent and consecu</w:t>
      </w:r>
      <w:r>
        <w:softHyphen/>
        <w:t>tive lives, to pay $2X a year to each of Charity 1 and Charity 2.  Individuals A and B survived decedent, but they are not closely-enough related to D to be used as the measuring lives for a deductible gift of a charitable annuity.  See Treas. Reg. § 20.2055</w:t>
      </w:r>
      <w:r>
        <w:noBreakHyphen/>
        <w:t>2(e)(2)(vi)(a).  When the trust ends (at the death of the later to die of A and B), $25X is to be distributed to Charity 3, $25X to Charity 4, $10X to individual C, and $7.5X each to individuals D, E, F and G.  The remaining trust corpus is then to be distributed one</w:t>
      </w:r>
      <w:r>
        <w:noBreakHyphen/>
        <w:t>third to individual H, one</w:t>
      </w:r>
      <w:r>
        <w:noBreakHyphen/>
        <w:t>third to Charity 1 Foundation and one</w:t>
      </w:r>
      <w:r>
        <w:noBreakHyphen/>
        <w:t>third to Charity 2.  The executor of D’s estate sought to reform the trust in state court to create two trusts, a charitable lead annuity trust (CLAT) and a charitable remainder unitrust (CRUT).  The CLAT will pay $2X annually each to Charities 1 and 2 for a period of 22 years (the actuarial life expectancy of A and B), and then terminate with distribu</w:t>
      </w:r>
      <w:r>
        <w:softHyphen/>
        <w:t>tions of $10X to C; $7.5X each to D, E, F and G; and the rest to H.  The trust will comply with the terms of Rev. Proc. 2007</w:t>
      </w:r>
      <w:r>
        <w:noBreakHyphen/>
        <w:t>46, 2007</w:t>
      </w:r>
      <w:r>
        <w:noBreakHyphen/>
        <w:t>1 C.B. 102, which con</w:t>
      </w:r>
      <w:r>
        <w:softHyphen/>
        <w:t>tains trust provisions that meet the requirements for a testamentary charitable lead annuity trust providing for annuity payments payable to one or more charitable beneficiaries for the annuity period followed by the distribution of trust assets to one or more noncharitable  remainder beneficiaries.  The CRUT will pay a unitrust amount to A and B or the survivor, and when both have died, pay $25X each to Charities 3 and 4, and divide the remainder equally between Charity 1 Foundation and Charity 2.  This trust will comply with the terms of Rev. Proc. 2005</w:t>
      </w:r>
      <w:r>
        <w:noBreakHyphen/>
        <w:t>59, 2005</w:t>
      </w:r>
      <w:r>
        <w:noBreakHyphen/>
        <w:t xml:space="preserve">2 C.B. 412, which contains trust provisions that meet the requirements for a testamentary charitable remainder unitrust with concurrent and consecutive interests for two measuring lives followed by the distribution of trust assets to a charitable remainderman. </w:t>
      </w:r>
    </w:p>
    <w:p w:rsidR="00800BE7" w:rsidRDefault="00800BE7">
      <w:pPr>
        <w:widowControl/>
        <w:ind w:left="2880" w:firstLine="720"/>
        <w:jc w:val="both"/>
      </w:pPr>
      <w:r>
        <w:t>The IRS stated that these were both qualified reforma</w:t>
      </w:r>
      <w:r>
        <w:softHyphen/>
        <w:t xml:space="preserve">tions under Section 2055(e).  The IRS noted that: (1) the charitable interests are reformable interests because as originally drafted, the trust provides for charitable interests that are presently ascertainable and, hence, severable from the noncharitable interests; (2) although payments to A and B were not expressed in specified dollar amounts or a fixed percentage of the fair market value of the property, a judicial proceeding was begun before the 90th day after the last date (including extensions) for filing D's estate tax return; (3) the difference between the actuarial value (determined as of the date of the D's death) of the qualified interest and the actuarial </w:t>
      </w:r>
      <w:r>
        <w:lastRenderedPageBreak/>
        <w:t>value of the reformable interest does not exceed five percent of the actuarial value (as so determined) of the reformable interest; (4) both before and after the reformation, in the case of the CRUT, the non-remainder interest terminates at the same time, and in the case of the CLAT, the reformable interest and the qualified interest are for the same period; and (5) the reforma</w:t>
      </w:r>
      <w:r>
        <w:softHyphen/>
        <w:t xml:space="preserve">tion is effective as of the date of D's death. </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2056, 2044, 2519, 2523, 2207A.  Marital Deduction</w:t>
      </w:r>
      <w:r>
        <w:fldChar w:fldCharType="begin"/>
      </w:r>
      <w:r w:rsidR="00800BE7">
        <w:instrText>tc \l2 "</w:instrText>
      </w:r>
      <w:r w:rsidR="00800BE7">
        <w:rPr>
          <w:b/>
          <w:bCs/>
        </w:rPr>
        <w:instrText>Field result goes here</w:instrText>
      </w:r>
      <w:r w:rsidR="00800BE7">
        <w:rPr>
          <w:b/>
          <w:bCs/>
        </w:rPr>
        <w:tab/>
        <w:instrText>Code §§ 2056, 2044, 2519, 2523, 2207A.  Marital Deduction</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Marital Deduction Reduced Because Decedent’s Statement of  “Desire” Treated as a Specific Bequest.  TAM 201126030 (July 1, 2011)</w:t>
      </w:r>
      <w:r>
        <w:fldChar w:fldCharType="begin"/>
      </w:r>
      <w:r w:rsidR="00800BE7">
        <w:instrText>tc \l3 "</w:instrText>
      </w:r>
      <w:r w:rsidR="00800BE7">
        <w:rPr>
          <w:b/>
          <w:bCs/>
        </w:rPr>
        <w:instrText>Field result goes here</w:instrText>
      </w:r>
      <w:r w:rsidR="00800BE7">
        <w:rPr>
          <w:b/>
          <w:bCs/>
        </w:rPr>
        <w:tab/>
        <w:instrText>Marital Deduction Reduced Because Decedent’s Statement of  “Desire” Treated as a Specific Bequest.  TAM 201126030 (July 1,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Decedent’s estate owed substantial debt obligations.  The will included a “statement of intent” concerning certain assets, and stating that, if Decedent died owning certain investment assets, “it is my desire that such equity interests be retained and that each of them be distributed so that all such equity interests are ultimately owned in equal shares by [Children].”  Decedent’s will made specific bequests to Spouse, as well as other specific bequests of life estates.  Dece</w:t>
      </w:r>
      <w:r>
        <w:softHyphen/>
        <w:t>dent’s will also created a Family Trust for the benefit of Decedent’s children.  The IRS National Office was asked whether the language “it is my desire”, used with respect to the gifts of equity investment assets, was mandatory or precatory.  If it is mandatory, then those interests are specific bequests to Decedent’s Children.  If it is precatory, those items are added to the residue of Decedent’s estate, which will be used to satisfy Decedent’s debts and, therefore, leave the specific bequest to Spouse undiminished by debts.  Therefore, if the language is precatory, the marital deduction will be increased.</w:t>
      </w:r>
    </w:p>
    <w:p w:rsidR="00800BE7" w:rsidRDefault="00800BE7">
      <w:pPr>
        <w:widowControl/>
        <w:ind w:left="2160" w:firstLine="720"/>
        <w:jc w:val="both"/>
      </w:pPr>
      <w:r>
        <w:t xml:space="preserve">The IRS deemed the language to be mandatory.  Under applicable state law, Decedent’s intent must be ascertained from the language used within the four corners of the instrument, looking at the clear meaning of the words actually used, rather than any extrinsic evidence of intent.  Furthermore, a court is required to give effect to every part of the instrument if the language is reasonably susceptible to a harmonious construction.  The IRS noted that some words that, in their ordinary meaning are precatory, are often construed as mandatory when used in a will, or when the context of the entire document shows that they are an expression of an intent to make a disposition.  Distinctions have been drawn between expressions of desire directed to beneficiaries, to executors, and to trustees.  A wish directed to a beneficiary is generally regarded as precatory, unless </w:t>
      </w:r>
      <w:r>
        <w:lastRenderedPageBreak/>
        <w:t>the words clearly express the testator's intention to the contrary; but where the words are addressed to an executor, they are more often regarded as mandatory, or at least prima facie mandatory.  The clause in question was an instruction to the executor, and the use of the word “desire” when addressed to an executor is often construed as a mandatory direction.  In this will, the IRS noted, Decedent often gave the executor clear language when discretion was intended, such as allowing the exercise of “sole and absolute discretion”.  In one instance, Decedent expressed a preference to a beneficiary, but granted the beneficiary discretion, with the statements “I request, but do not require”, “I further request, but not require”, and “I suggest”.  Thus, the IRS concluded that the disposition of the equity interests was a specific bequest.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2160" w:hanging="720"/>
        <w:jc w:val="both"/>
        <w:rPr>
          <w:b/>
          <w:bCs/>
        </w:rPr>
      </w:pPr>
      <w:r>
        <w:rPr>
          <w:b/>
          <w:bCs/>
        </w:rPr>
        <w:lastRenderedPageBreak/>
        <w:fldChar w:fldCharType="begin"/>
      </w:r>
      <w:r w:rsidR="00800BE7">
        <w:rPr>
          <w:b/>
          <w:bCs/>
        </w:rPr>
        <w:instrText>LISTNUM Outline \l 3</w:instrText>
      </w:r>
      <w:r>
        <w:rPr>
          <w:b/>
          <w:bCs/>
        </w:rPr>
        <w:fldChar w:fldCharType="end"/>
      </w:r>
      <w:r w:rsidR="00800BE7">
        <w:rPr>
          <w:b/>
          <w:bCs/>
        </w:rPr>
        <w:tab/>
        <w:t>IRS Agrees to Void Unnecessary QTIP Elections.  PLRs 201131011 (Aug. 5, 2011) and  201112001 (March 25, 2011)</w:t>
      </w:r>
      <w:r>
        <w:rPr>
          <w:b/>
          <w:bCs/>
        </w:rPr>
        <w:fldChar w:fldCharType="begin"/>
      </w:r>
      <w:r w:rsidR="00800BE7">
        <w:rPr>
          <w:b/>
          <w:bCs/>
        </w:rPr>
        <w:instrText>tc \l3 "Field result goes here</w:instrText>
      </w:r>
      <w:r w:rsidR="00800BE7">
        <w:rPr>
          <w:b/>
          <w:bCs/>
        </w:rPr>
        <w:tab/>
        <w:instrText>IRS Agrees to Void Unnecessary QTIP Elections.  PLRs 201131011 (Aug. 5, 2011) and  201112001 (March 25, 2011)</w:instrText>
      </w:r>
      <w:r>
        <w:rPr>
          <w:b/>
          <w:bCs/>
        </w:rPr>
        <w:fldChar w:fldCharType="end"/>
      </w:r>
    </w:p>
    <w:p w:rsidR="00800BE7" w:rsidRDefault="00800BE7">
      <w:pPr>
        <w:keepNext/>
        <w:keepLines/>
        <w:widowControl/>
        <w:jc w:val="both"/>
      </w:pPr>
    </w:p>
    <w:p w:rsidR="00800BE7" w:rsidRDefault="00800BE7">
      <w:pPr>
        <w:keepNext/>
        <w:keepLines/>
        <w:widowControl/>
        <w:tabs>
          <w:tab w:val="left" w:pos="-1440"/>
        </w:tabs>
        <w:ind w:left="2880" w:hanging="720"/>
        <w:jc w:val="both"/>
      </w:pPr>
      <w:r>
        <w:rPr>
          <w:b/>
          <w:bCs/>
        </w:rPr>
        <w:t>·</w:t>
      </w:r>
      <w:r>
        <w:rPr>
          <w:b/>
          <w:bCs/>
        </w:rPr>
        <w:tab/>
        <w:t>PLR 201131011.</w:t>
      </w:r>
      <w:r>
        <w:t xml:space="preserve">  Decedent’s pour-over will left the residue of his estate to his revocable trust, which directed that the trust be divided into a Marital Trust and a Family Trust.  The Marital Trust is to be funded an amount necessary to reduce both the Federal and state estate taxes to zero.  The trustee funded Marital Trust with assets equal to the amount required to reduce the State death tax to zero, which was less than the federal applicable exclusion amount for Decedent’s year of death.  The executor elected to deduct the Marital Trust as a QTIP.  The combination of the Marital Trust and the Family Trust did not exceed Decedent’s applicable exclusion amount.</w:t>
      </w:r>
    </w:p>
    <w:p w:rsidR="00800BE7" w:rsidRDefault="00800BE7">
      <w:pPr>
        <w:keepNext/>
        <w:keepLines/>
        <w:widowControl/>
        <w:ind w:left="2880" w:firstLine="720"/>
        <w:jc w:val="both"/>
      </w:pPr>
      <w:r>
        <w:t>The IRS stated that, under Rev. Proc. 2001</w:t>
      </w:r>
      <w:r>
        <w:noBreakHyphen/>
        <w:t>38, 2001-1 C.B. 1335, it would ignore the QTIP election, because it was not needed to reduce the federal estate tax to zero.</w:t>
      </w:r>
    </w:p>
    <w:p w:rsidR="00800BE7" w:rsidRDefault="00800BE7">
      <w:pPr>
        <w:keepNext/>
        <w:keepLines/>
        <w:widowControl/>
        <w:ind w:left="2880" w:firstLine="720"/>
        <w:jc w:val="both"/>
      </w:pPr>
      <w:r>
        <w:rPr>
          <w:b/>
          <w:bCs/>
        </w:rPr>
        <w:t>Note.</w:t>
      </w:r>
      <w:r>
        <w:t xml:space="preserve">  One has to wonder how the IRS determination would affect the state estate tax QTIP election.  Some states require that the elections be made consistently, while others do not.  Practitioners using a state-only QTIP should determine whether a request for the IRS to ignore the QTIP election might frustrate the state death tax planning.</w:t>
      </w:r>
    </w:p>
    <w:p w:rsidR="00800BE7" w:rsidRDefault="00800BE7">
      <w:pPr>
        <w:keepNext/>
        <w:keepLines/>
        <w:widowControl/>
        <w:jc w:val="both"/>
      </w:pPr>
    </w:p>
    <w:p w:rsidR="00800BE7" w:rsidRDefault="00800BE7">
      <w:pPr>
        <w:keepLines/>
        <w:widowControl/>
        <w:tabs>
          <w:tab w:val="left" w:pos="-1440"/>
        </w:tabs>
        <w:ind w:left="2880" w:hanging="720"/>
        <w:jc w:val="both"/>
      </w:pPr>
      <w:r>
        <w:rPr>
          <w:b/>
          <w:bCs/>
        </w:rPr>
        <w:lastRenderedPageBreak/>
        <w:t>·</w:t>
      </w:r>
      <w:r>
        <w:rPr>
          <w:b/>
          <w:bCs/>
        </w:rPr>
        <w:tab/>
        <w:t>PLR 201112001.</w:t>
      </w:r>
      <w:r>
        <w:t xml:space="preserve">  Decedent’s revocable trust created a Marital Share and a Family Share upon Decedent’s death, based on a formula that provided a credit-shelter Family Share and residue equal to the Marital Share.  The Marital Share was held in a trust that directed payment to the surviving spouse, Spouse, all of the trust income and as much of the principal as Spouse requested “for any reason.”  Spouse also had a general testamentary power of appointment over the Marital Trust.  The Family Share was held in a Family Trust, all of the net income being payable to Spouse at least monthly, together with as much principal as Spouse might require for her “health, education, maintenance and support.”  The Decedent’s executor filed a timely estate tax return and made a QTIP election for both the Marital Trust and the Family Trust.  With the aid of new counsel, Spouse discovered that the QTIP election for the Family Trust was not necessary to reduce the estate tax liability to zero, and requested a ruling under Rev. Proc. 2001</w:t>
      </w:r>
      <w:r>
        <w:noBreakHyphen/>
        <w:t>38, 2001-1 C.B. 1335, that the QTIP election made with respect to the Family Trust was void for purposes of estate, gift and GST tax purposes, because it was not neces</w:t>
      </w:r>
      <w:r>
        <w:softHyphen/>
        <w:t>sary to reduce the estate tax liability to zero.</w:t>
      </w:r>
    </w:p>
    <w:p w:rsidR="00800BE7" w:rsidRDefault="00800BE7">
      <w:pPr>
        <w:keepLines/>
        <w:widowControl/>
        <w:tabs>
          <w:tab w:val="left" w:pos="-1440"/>
        </w:tabs>
        <w:ind w:left="288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The IRS granted the request to void the election to deduct the Family Trust.  It also noted that the Marital Trust was a general power of appointment trust under Section 2056(b)(5), and thus also voided the election to deduct that trust, as unnecessary to obtain the Federal estate tax marital deduction.</w:t>
      </w:r>
    </w:p>
    <w:p w:rsidR="00800BE7" w:rsidRDefault="00800BE7">
      <w:pPr>
        <w:widowControl/>
        <w:ind w:left="2880" w:firstLine="720"/>
        <w:jc w:val="both"/>
      </w:pPr>
      <w:r>
        <w:rPr>
          <w:b/>
          <w:bCs/>
        </w:rPr>
        <w:t>Note.</w:t>
      </w:r>
      <w:r>
        <w:t xml:space="preserve">  One can only imagine that this estate tax return was prepared by someone with very little experience in estate taxes and estate tax planning.  Estate tax returns are not entry-level projects, and should generally be left to or, at least, supervised by persons with significant experience in estate taxes and estate tax planning.  In this case, apart from the cost of obtaining the private letter ruling, no damage was done, other than to the reputation of the person who prepared the decedent’s estate tax return.</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IRS Rescinds Ruling that Allowed Late </w:t>
      </w:r>
      <w:r w:rsidR="00800BE7">
        <w:rPr>
          <w:b/>
          <w:bCs/>
          <w:i/>
          <w:iCs/>
        </w:rPr>
        <w:t>Inter Vivos</w:t>
      </w:r>
      <w:r w:rsidR="00800BE7">
        <w:rPr>
          <w:b/>
          <w:bCs/>
        </w:rPr>
        <w:t xml:space="preserve"> QTIP Election. PLR 201109012 (March 4, 2011), rescinding PLR 201025021 (June 25, 2010)</w:t>
      </w:r>
      <w:r>
        <w:rPr>
          <w:b/>
          <w:bCs/>
        </w:rPr>
        <w:fldChar w:fldCharType="begin"/>
      </w:r>
      <w:r w:rsidR="00800BE7">
        <w:rPr>
          <w:b/>
          <w:bCs/>
        </w:rPr>
        <w:instrText>tc \l3 "Field result goes here</w:instrText>
      </w:r>
      <w:r w:rsidR="00800BE7">
        <w:rPr>
          <w:b/>
          <w:bCs/>
        </w:rPr>
        <w:tab/>
        <w:instrText xml:space="preserve">IRS Rescinds Ruling that Allowed Late </w:instrText>
      </w:r>
      <w:r w:rsidR="00800BE7">
        <w:rPr>
          <w:b/>
          <w:bCs/>
          <w:i/>
          <w:iCs/>
        </w:rPr>
        <w:instrText>Inter Vivos</w:instrText>
      </w:r>
      <w:r w:rsidR="00800BE7">
        <w:rPr>
          <w:b/>
          <w:bCs/>
        </w:rPr>
        <w:instrText xml:space="preserve"> QTIP Election. PLR 201109012 (March 4, 2011), rescinding PLR 201025021 (June 25, 2010)</w:instrText>
      </w:r>
      <w:r>
        <w:rPr>
          <w:b/>
          <w:bCs/>
        </w:rPr>
        <w:fldChar w:fldCharType="end"/>
      </w:r>
    </w:p>
    <w:p w:rsidR="00800BE7" w:rsidRDefault="00800BE7">
      <w:pPr>
        <w:keepNext/>
        <w:keepLines/>
        <w:widowControl/>
        <w:jc w:val="both"/>
      </w:pPr>
    </w:p>
    <w:p w:rsidR="00800BE7" w:rsidRDefault="00800BE7">
      <w:pPr>
        <w:keepLines/>
        <w:widowControl/>
        <w:ind w:left="2160"/>
        <w:jc w:val="both"/>
      </w:pPr>
      <w:r>
        <w:t>Grantor created an irrevocable inter vivos trust for the benefit of Spouse, directing the trustees to pay Spouse all of the net income at least quarterly, along with as much of the principal as the trustees consider advisable for Spouse’s health, education, maintenance, and support.  The trust instrument stated that Grantor intends, “to the extent that QTIP elections are made on the gift tax returns with respect to Trust,” to be entitled to the maximum federal gift tax marital deduction.  Grantor hired Law Firm to prepare and file the gift tax returns but return did not include a QTIP election under Section 2523(f)(2).</w:t>
      </w:r>
    </w:p>
    <w:p w:rsidR="00800BE7" w:rsidRDefault="00800BE7">
      <w:pPr>
        <w:widowControl/>
        <w:ind w:left="2160" w:firstLine="720"/>
        <w:jc w:val="both"/>
      </w:pPr>
      <w:r>
        <w:t>The IRS, in a 2010 ruling, granted Grantor additional time within which to make the QTIP election.  Section 2523(f)(4)(A) states that the inter vivos QTIP election “shall be made on or before the date prescribed by § 6075(b) for filing a gift tax return with respect to the transfer (determined without regard to § 6019(2)). . . .”  The IRS stated that relief would be granted under Treas. Reg. § 301.9100</w:t>
      </w:r>
      <w:r>
        <w:noBreakHyphen/>
        <w:t>1(c) upon evidence that the taxpayer acted reasonably and in good faith, and that granting relief will not prejudice the interests of the government.  The IRS also noted that Treas. Reg. § 301.9100</w:t>
      </w:r>
      <w:r>
        <w:noBreakHyphen/>
        <w:t>3(b)(1)(v) deems a taxpayer to have acted reasonably and in good faith if the taxpayer reasonably relied on a qualified tax professional, including a tax professional employed by the taxpayer, and the tax professional failed to make, or advise the taxpayer to make, the election.  In this case, the taxpayer was allowed until 60 days after the date of the ruling to make the QTIP election.</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The IRS, in its 2011 ruling, retroactively withdrew PLR 201025021, stating that Regs. § 301.9100-3 applies only to requests for extensions of time fixed by administrative pronouncement, and the time for making a QTIP election is fixed by statute.</w:t>
      </w:r>
    </w:p>
    <w:p w:rsidR="00800BE7" w:rsidRDefault="00800BE7">
      <w:pPr>
        <w:widowControl/>
        <w:ind w:left="2160" w:firstLine="720"/>
        <w:jc w:val="both"/>
      </w:pPr>
      <w:r>
        <w:rPr>
          <w:b/>
          <w:bCs/>
        </w:rPr>
        <w:t>Note.</w:t>
      </w:r>
      <w:r>
        <w:t xml:space="preserve">  PLR 201025021 was the only time that the IRS had permitted a late </w:t>
      </w:r>
      <w:r>
        <w:rPr>
          <w:i/>
          <w:iCs/>
        </w:rPr>
        <w:t>inter vivos</w:t>
      </w:r>
      <w:r>
        <w:t xml:space="preserve"> QTIP election.  The position taken in PLR 201109012 is consistent with several prior private rulings.  See PLRs 200314012 (Dec. 17, 2002), 9641023 (July 10, 1996), 9437032 (June 20, 1994).</w:t>
      </w:r>
    </w:p>
    <w:p w:rsidR="00800BE7" w:rsidRDefault="00800BE7">
      <w:pPr>
        <w:widowControl/>
        <w:ind w:left="2160" w:firstLine="720"/>
        <w:jc w:val="both"/>
      </w:pPr>
      <w:r>
        <w:rPr>
          <w:i/>
          <w:iCs/>
        </w:rPr>
        <w:t>Inter vivos</w:t>
      </w:r>
      <w:r>
        <w:t xml:space="preserve"> QTIPs are a very popular estate planning technique for several reasons.  They can enable one spouse to assure that the donee spouse has adequate assets includible in his or her gross estate to take full advantage of the donee spouse’s own applicable exclusion amount and GST exemption.  A donor spouse can even use an </w:t>
      </w:r>
      <w:r>
        <w:rPr>
          <w:i/>
          <w:iCs/>
        </w:rPr>
        <w:t>inter vivos</w:t>
      </w:r>
      <w:r>
        <w:t xml:space="preserve"> QTIP to create a nonmarital trust, that if the donor </w:t>
      </w:r>
      <w:r>
        <w:lastRenderedPageBreak/>
        <w:t>spouse survives the donee spouse, will be taxed to the donor spouse as a grantor trust for income tax purposes.  See Gans, Blattmachr &amp; Zeydel, “Supercharged Credit Shelter Trust</w:t>
      </w:r>
      <w:r>
        <w:rPr>
          <w:vertAlign w:val="superscript"/>
        </w:rPr>
        <w:t>sm</w:t>
      </w:r>
      <w:r>
        <w:t>,” 21 Prob. &amp; Prop. 52 (July/August, 2007).</w:t>
      </w:r>
    </w:p>
    <w:p w:rsidR="00800BE7" w:rsidRDefault="00800BE7">
      <w:pPr>
        <w:widowControl/>
        <w:ind w:left="2160" w:firstLine="720"/>
        <w:jc w:val="both"/>
      </w:pPr>
      <w:r>
        <w:t xml:space="preserve">Practitioners must be very careful, however, to assure that the donor spouse makes the election to deduct gifts made to an </w:t>
      </w:r>
      <w:r>
        <w:rPr>
          <w:i/>
          <w:iCs/>
        </w:rPr>
        <w:t>inter vivos</w:t>
      </w:r>
      <w:r>
        <w:t xml:space="preserve"> QTIP.  Section 2523(f)(4)(A) states that the QTIP election must be made by the donor on or before the date for filing a timely gift tax return.  Practitioners creating an </w:t>
      </w:r>
      <w:r>
        <w:rPr>
          <w:i/>
          <w:iCs/>
        </w:rPr>
        <w:t>inter vivos</w:t>
      </w:r>
      <w:r>
        <w:t xml:space="preserve"> QTIP for a client may want to assume responsibility themselves for filing the gift tax return, better to assure that the return is filed and that the election is made.</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Approves Marital Deduction for Assets Passing Pursuant to Family Settlement Agreement.  PLR 201046004 (Nov. 19, 2010)</w:t>
      </w:r>
      <w:r>
        <w:fldChar w:fldCharType="begin"/>
      </w:r>
      <w:r w:rsidR="00800BE7">
        <w:instrText>tc \l3 "</w:instrText>
      </w:r>
      <w:r w:rsidR="00800BE7">
        <w:rPr>
          <w:b/>
          <w:bCs/>
        </w:rPr>
        <w:instrText>Field result goes here</w:instrText>
      </w:r>
      <w:r w:rsidR="00800BE7">
        <w:rPr>
          <w:b/>
          <w:bCs/>
        </w:rPr>
        <w:tab/>
        <w:instrText>IRS Approves Marital Deduction for Assets Passing Pursuant to Family Settlement Agreement.  PLR 201046004 (Nov. 19, 2010)</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D and Spouse entered into a marital agreement effective as of their date of marriage.  The terms of the marital agreement differ materially from those of D’s pre-existing revocable trust.  The trust provides for certain outright distributions to Spouse and the creation of a qualified terminal interest property (QTIP) trust for Spouse.  The balance of trust’s assets are to be distributed outright to Daughter.  The trust specifically provides that certain real property is to be transferred to the QTIP trust, but the marital agreement requires that this property be distributed outright to Spouse.  On the other hand, D provided some financial benefits to Spouse in the marital agreement, but provided substantially greater financial benefits to Spouse under the trust.  Spouse and Daughter also disagreed on the proper construction of the trust’s tax proration clause, as well as the allocation of ex</w:t>
      </w:r>
      <w:r>
        <w:softHyphen/>
        <w:t>penses between principal and income with respect to the real property to be held in the trust.  Furthermore, the beneficiary of an individual retirement account (IRA) owned by D at the time of his death is uncertain, because D initially designated the trust as the beneficiary, and when he moved the IRA to a different bank, he failed to execute a new beneficiary designation, and under the rules of the new bank, the IRA passes to Spouse outright.  Spouse and daughter, each represented by separate counsel, resolved the disputed issues and executed an Family Settlement Agreement, which provides for the termination of the trust, and the outright distribution to the spouse of certain property (including the real property that the marital agreement stated would go to the spouse and the IRA).  The agreement provides that Daughter will receive the remaining assets, outright and free of trust.  The amounts to be distributed to Spouse and Daughter will be reduced equally by the expenses of administration of the trust incurred from the date of D’s death until the date of distribution, and estate taxes will be charged against and paid from the amount to be distributed to Daughter.  D’s executor elected to deduct the entire date of death value of the assets passing to Spouse under the terms of settlement agreement.  A local court approved the settlement agreement, contingent upon receiving a favorable ruling from the IRS.</w:t>
      </w:r>
    </w:p>
    <w:p w:rsidR="00800BE7" w:rsidRDefault="00800BE7">
      <w:pPr>
        <w:widowControl/>
        <w:ind w:left="2160" w:firstLine="720"/>
        <w:jc w:val="both"/>
      </w:pPr>
      <w:r>
        <w:t>The IRS ruled that D’s estate was entitled to a marital deduc</w:t>
      </w:r>
      <w:r>
        <w:softHyphen/>
        <w:t>tion for all of the property passing to Spouse under the settlement agreement.  The IRS noted that Treas. Regs. § 20.2056(c)</w:t>
      </w:r>
      <w:r>
        <w:noBreakHyphen/>
        <w:t xml:space="preserve">2(d)(2) states that, if as a result of a controversy involving a decedent’s will, or involving any bequest or devise thereunder, a property interest is assigned or surrendered to the surviving spouse, the interest so acquired will be regarded as having "passed from the decedent to the spouse" only if the assignment or surrender was a "bona fide recognition of enforceable rights of the spouse in the decedent’s estate."  A </w:t>
      </w:r>
      <w:r>
        <w:rPr>
          <w:i/>
          <w:iCs/>
        </w:rPr>
        <w:t xml:space="preserve">bona fide </w:t>
      </w:r>
      <w:r>
        <w:t xml:space="preserve">recognition is presumed where the assignment </w:t>
      </w:r>
      <w:r>
        <w:lastRenderedPageBreak/>
        <w:t>or surrender was pursuant to a decision of a local court upon the merits in an adversary proceeding following a genuine and active contest, though only to the extent that the court passed upon the facts upon which the deductibility of the property interest depends.  The IRS also discussed Rev. Rul. 66</w:t>
      </w:r>
      <w:r>
        <w:noBreakHyphen/>
        <w:t>139, 1966</w:t>
      </w:r>
      <w:r>
        <w:noBreakHyphen/>
        <w:t xml:space="preserve">1 C.B. 225, which states that a valid claim by the spouse to a share in the decedent’s estate, made in good faith and settled as a result of arm's length negotiations without any court contest, will qualify as a </w:t>
      </w:r>
      <w:r>
        <w:rPr>
          <w:i/>
          <w:iCs/>
        </w:rPr>
        <w:t>bona fide</w:t>
      </w:r>
      <w:r>
        <w:t xml:space="preserve"> claim under the regulations.  See also </w:t>
      </w:r>
      <w:r>
        <w:rPr>
          <w:i/>
          <w:iCs/>
        </w:rPr>
        <w:t>Ahmanson Foundation v. United States</w:t>
      </w:r>
      <w:r>
        <w:t>, 674 F.2d 761 (9th Cir. 1981).  The IRS concluded that: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right="720" w:firstLine="720"/>
        <w:jc w:val="both"/>
      </w:pPr>
      <w:r>
        <w:lastRenderedPageBreak/>
        <w:t>In this case, both Spouse and Daughter have legally enforceable rights and both are represented by separate legal counsel. Some of Trust’s terms are inconsistent with the terms of Marital Agreement, while other Trust terms are ambiguous.  The beneficiary of Decedent’s IRA is also uncertain. Settlement Agreement is the product of arm’s length negotiations and repre</w:t>
      </w:r>
      <w:r>
        <w:softHyphen/>
        <w:t>sents a good faith settlement.  We recognize that, because of the uncertainty of litigation, determining a precisely correct allocation of assets in a settlement is difficult.  We believe that Settlement Agreement pro</w:t>
      </w:r>
      <w:r>
        <w:softHyphen/>
        <w:t>vides an allocation of the estate's assets that is within a range of reasonable settlements.  That is, the interests to be received by the parties (both as to the nature of the interests and their economic value) reflect the enforceable rights of the parties.</w:t>
      </w:r>
    </w:p>
    <w:p w:rsidR="00800BE7" w:rsidRDefault="00800BE7">
      <w:pPr>
        <w:widowControl/>
        <w:jc w:val="both"/>
      </w:pPr>
    </w:p>
    <w:p w:rsidR="00800BE7" w:rsidRDefault="00800BE7">
      <w:pPr>
        <w:widowControl/>
        <w:jc w:val="both"/>
      </w:pPr>
    </w:p>
    <w:p w:rsidR="00800BE7" w:rsidRDefault="00BC7053">
      <w:pPr>
        <w:widowControl/>
        <w:ind w:firstLine="720"/>
        <w:jc w:val="both"/>
      </w:pPr>
      <w:r>
        <w:rPr>
          <w:b/>
          <w:bCs/>
        </w:rPr>
        <w:fldChar w:fldCharType="begin"/>
      </w:r>
      <w:r w:rsidR="00800BE7">
        <w:rPr>
          <w:b/>
          <w:bCs/>
        </w:rPr>
        <w:instrText>LISTNUM Outline \l 2</w:instrText>
      </w:r>
      <w:r>
        <w:rPr>
          <w:b/>
          <w:bCs/>
        </w:rPr>
        <w:fldChar w:fldCharType="end"/>
      </w:r>
      <w:r w:rsidR="00800BE7">
        <w:rPr>
          <w:b/>
          <w:bCs/>
        </w:rPr>
        <w:tab/>
        <w:t>Estate Tax Procedures</w:t>
      </w:r>
      <w:r>
        <w:rPr>
          <w:b/>
          <w:bCs/>
        </w:rPr>
        <w:fldChar w:fldCharType="begin"/>
      </w:r>
      <w:r w:rsidR="00800BE7">
        <w:rPr>
          <w:b/>
          <w:bCs/>
        </w:rPr>
        <w:instrText>tc \l2 "Field result goes here</w:instrText>
      </w:r>
      <w:r w:rsidR="00800BE7">
        <w:rPr>
          <w:b/>
          <w:bCs/>
        </w:rPr>
        <w:tab/>
        <w:instrText>Estate Tax Procedures</w:instrText>
      </w:r>
      <w:r>
        <w:rPr>
          <w:b/>
          <w:bCs/>
        </w:rPr>
        <w:fldChar w:fldCharType="end"/>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Only One Bite of the Apply – Estate Tax Refund Suit is Untimely Because Executor Not Entitled to Second Estate Tax Filing Extension.  </w:t>
      </w:r>
      <w:r w:rsidR="00800BE7">
        <w:rPr>
          <w:b/>
          <w:bCs/>
          <w:i/>
          <w:iCs/>
        </w:rPr>
        <w:t>Dickow v. United States</w:t>
      </w:r>
      <w:r w:rsidR="00800BE7">
        <w:rPr>
          <w:b/>
          <w:bCs/>
        </w:rPr>
        <w:t xml:space="preserve">, ___ F.3d ___, </w:t>
      </w:r>
      <w:r w:rsidR="00800BE7">
        <w:rPr>
          <w:rFonts w:ascii="Shruti" w:hAnsi="Shruti" w:cs="Shruti"/>
          <w:b/>
          <w:bCs/>
        </w:rPr>
        <w:t>2011 WL 3632933, 108 A.F.T.R.2d 2011</w:t>
      </w:r>
      <w:r w:rsidR="00800BE7">
        <w:rPr>
          <w:rFonts w:ascii="Shruti" w:hAnsi="Shruti" w:cs="Shruti"/>
          <w:b/>
          <w:bCs/>
        </w:rPr>
        <w:noBreakHyphen/>
        <w:t xml:space="preserve">5874 </w:t>
      </w:r>
      <w:r w:rsidR="00800BE7">
        <w:rPr>
          <w:b/>
          <w:bCs/>
        </w:rPr>
        <w:t>(1</w:t>
      </w:r>
      <w:r w:rsidR="00800BE7">
        <w:rPr>
          <w:b/>
          <w:bCs/>
          <w:vertAlign w:val="superscript"/>
        </w:rPr>
        <w:t>st</w:t>
      </w:r>
      <w:r w:rsidR="00800BE7">
        <w:rPr>
          <w:b/>
          <w:bCs/>
        </w:rPr>
        <w:t xml:space="preserve"> Cir.  Aug. 19, 2011)</w:t>
      </w:r>
      <w:r>
        <w:fldChar w:fldCharType="begin"/>
      </w:r>
      <w:r w:rsidR="00800BE7">
        <w:instrText>tc \l3 "</w:instrText>
      </w:r>
      <w:r w:rsidR="00800BE7">
        <w:rPr>
          <w:b/>
          <w:bCs/>
        </w:rPr>
        <w:instrText>Field result goes here</w:instrText>
      </w:r>
      <w:r w:rsidR="00800BE7">
        <w:rPr>
          <w:b/>
          <w:bCs/>
        </w:rPr>
        <w:tab/>
        <w:instrText xml:space="preserve">Only One Bite of the Apply – Estate Tax Refund Suit is Untimely Because Executor Not Entitled to Second Estate Tax Filing Extension.  </w:instrText>
      </w:r>
      <w:r w:rsidR="00800BE7">
        <w:rPr>
          <w:b/>
          <w:bCs/>
          <w:i/>
          <w:iCs/>
        </w:rPr>
        <w:instrText>Dickow v. United States</w:instrText>
      </w:r>
      <w:r w:rsidR="00800BE7">
        <w:rPr>
          <w:b/>
          <w:bCs/>
        </w:rPr>
        <w:instrText xml:space="preserve">, ___ F.3d ___, </w:instrText>
      </w:r>
      <w:r w:rsidR="00800BE7">
        <w:rPr>
          <w:rFonts w:ascii="Shruti" w:hAnsi="Shruti" w:cs="Shruti"/>
          <w:b/>
          <w:bCs/>
        </w:rPr>
        <w:instrText>2011 WL 3632933, 108 A.F.T.R.2d 2011</w:instrText>
      </w:r>
      <w:r w:rsidR="00800BE7">
        <w:rPr>
          <w:rFonts w:ascii="Shruti" w:hAnsi="Shruti" w:cs="Shruti"/>
          <w:b/>
          <w:bCs/>
        </w:rPr>
        <w:noBreakHyphen/>
        <w:instrText xml:space="preserve">5874 </w:instrText>
      </w:r>
      <w:r w:rsidR="00800BE7">
        <w:rPr>
          <w:b/>
          <w:bCs/>
        </w:rPr>
        <w:instrText>(1</w:instrText>
      </w:r>
      <w:r w:rsidR="00800BE7">
        <w:rPr>
          <w:b/>
          <w:bCs/>
          <w:vertAlign w:val="superscript"/>
        </w:rPr>
        <w:instrText>st</w:instrText>
      </w:r>
      <w:r w:rsidR="00800BE7">
        <w:rPr>
          <w:b/>
          <w:bCs/>
        </w:rPr>
        <w:instrText xml:space="preserve"> Cir.  Aug. 19, 2011)</w:instrText>
      </w:r>
      <w:r>
        <w:fldChar w:fldCharType="end"/>
      </w:r>
    </w:p>
    <w:p w:rsidR="00800BE7" w:rsidRDefault="00800BE7">
      <w:pPr>
        <w:widowControl/>
        <w:jc w:val="both"/>
      </w:pPr>
    </w:p>
    <w:p w:rsidR="00800BE7" w:rsidRDefault="00800BE7">
      <w:pPr>
        <w:widowControl/>
        <w:ind w:left="2160"/>
        <w:jc w:val="both"/>
      </w:pPr>
      <w:r>
        <w:t xml:space="preserve">Charles Dickow was executor of the estate of Margaret Dickow.  Charles filed a timely request for an extension of the time to file and pay, enclosing a $945,000 check for the estimated tax.  The IRS granted the automatic six-month extension of time to file the estate tax return and, just over five months later, Charles filed a second request for an extension of the time to file, stating that “despite due diligence on his part, he has not received an appraisal of a real estate asset which constitutes a large portion of the Estate.” The IRS denied </w:t>
      </w:r>
      <w:r>
        <w:lastRenderedPageBreak/>
        <w:t>the second request for an extension to file, but granted the additional extension of time to pay.  Charles claimed that he never received the rejection of the request for additional time to file, and that he had relied to his detriment on the IRS' silence as evidence that the second request had been granted.  Charles filed the estate tax return within the time of the second extension (the one that had not been granted), requesting a refund, which the IRS granted.  Almost three years later, Charles sent in an amended estate tax return claim</w:t>
      </w:r>
      <w:r>
        <w:softHyphen/>
        <w:t>ing a refund of $237,813.48.  The IRS denied the claim.</w:t>
      </w:r>
    </w:p>
    <w:p w:rsidR="00800BE7" w:rsidRDefault="00800BE7">
      <w:pPr>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The U.S. District Court for Massachusetts (Judge Woodlock) gran</w:t>
      </w:r>
      <w:r>
        <w:softHyphen/>
        <w:t xml:space="preserve">ted the IRS summary judgment, finding that the claim for refund was invalid because Charles claim was untimely under Sections 6511(a) and 6511(b)(2)(A).  The court determined that the Code (Section 6081(a)) was ambiguous as to whether the IRS could grant more than one six-month extension, but that the regulations were clear that the IRS could grant only one six-month extension.  The district court gave deference to the regulations.  </w:t>
      </w:r>
      <w:r>
        <w:rPr>
          <w:i/>
          <w:iCs/>
        </w:rPr>
        <w:t>Chevron, U.S.A., Inc. v. Natural Resources Defense Council, Inc.</w:t>
      </w:r>
      <w:r>
        <w:t>, 467 U.S. 837 (1984).  Since Charles could not have received a second extension, and his  claim was filed three years and six months after the tax pay</w:t>
      </w:r>
      <w:r>
        <w:softHyphen/>
        <w:t>ment, it was untimely.  The court also held that Charles’ claim for equitable estop</w:t>
      </w:r>
      <w:r>
        <w:softHyphen/>
        <w:t>pel could not provide jurisdiction over this action, and that, even if it could, he had not proven the required element of affirmative misconduct by the IRS.</w:t>
      </w:r>
    </w:p>
    <w:p w:rsidR="00800BE7" w:rsidRDefault="00800BE7">
      <w:pPr>
        <w:widowControl/>
        <w:ind w:left="2160" w:firstLine="720"/>
        <w:jc w:val="both"/>
      </w:pPr>
      <w:r>
        <w:t>The First Circuit (Chief Judge Lynch) affirmed on both issues.  The court noted a taxpayer seeking an estate tax refund must file the claim within the later of three years after filing the tax return or two years after paying the tax.  A taxpayer who claims a refund within three years of filing the return can receive a refund of only the portion of the tax paid within the three years immediately preceding the refund claim, plus any extensions of time for filing the return.  Code § 6511(b)(2)(A).  The claim for refund was ineffective, therefore, because the payments had all been made more than three years before the date of the claim.  The court stated that the second extension had not been granted and could not be counted towards the look-back limitation.  The First Circuit also rejected Charles’ claim that the government should be equitably estop</w:t>
      </w:r>
      <w:r>
        <w:softHyphen/>
        <w:t xml:space="preserve">ped to assert the statute of limitations, because it had “misrepresented” to him that the second extension had been granted by not telling him explicitly that the request had been denied.  The court agreed with the District Court that equitable exceptions do not apply to the statute of limitations under Section 6511.  </w:t>
      </w:r>
      <w:r>
        <w:rPr>
          <w:i/>
          <w:iCs/>
        </w:rPr>
        <w:t>United States v. Brockamp</w:t>
      </w:r>
      <w:r>
        <w:t>, 519 U.S. 347 (1997).  Furthermore, the court noted, Charles did not establish the elements of equitable estoppel, because he showed no “ definite misrepresenta</w:t>
      </w:r>
      <w:r>
        <w:softHyphen/>
        <w:t xml:space="preserve">tion of fact” </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Fifth Circuit Agrees that Tax Court Lacked Jurisdiction Over Revocable Trust, Despite Claim of Equitable Recoupment.  </w:t>
      </w:r>
      <w:r w:rsidR="00800BE7">
        <w:rPr>
          <w:b/>
          <w:bCs/>
          <w:i/>
          <w:iCs/>
        </w:rPr>
        <w:t>Estate of Anderson v. Comm’r</w:t>
      </w:r>
      <w:r w:rsidR="00800BE7">
        <w:rPr>
          <w:b/>
          <w:bCs/>
        </w:rPr>
        <w:t>, 2011 WL 3241949 (5</w:t>
      </w:r>
      <w:r w:rsidR="00800BE7">
        <w:rPr>
          <w:b/>
          <w:bCs/>
          <w:vertAlign w:val="superscript"/>
        </w:rPr>
        <w:t>th</w:t>
      </w:r>
      <w:r w:rsidR="00800BE7">
        <w:rPr>
          <w:b/>
          <w:bCs/>
        </w:rPr>
        <w:t xml:space="preserve"> Cir. July 27, 2011) (slip opinion)</w:t>
      </w:r>
      <w:r>
        <w:fldChar w:fldCharType="begin"/>
      </w:r>
      <w:r w:rsidR="00800BE7">
        <w:instrText>tc \l3 "</w:instrText>
      </w:r>
      <w:r w:rsidR="00800BE7">
        <w:rPr>
          <w:b/>
          <w:bCs/>
        </w:rPr>
        <w:instrText>Field result goes here</w:instrText>
      </w:r>
      <w:r w:rsidR="00800BE7">
        <w:rPr>
          <w:b/>
          <w:bCs/>
        </w:rPr>
        <w:tab/>
        <w:instrText xml:space="preserve">Fifth Circuit Agrees that Tax Court Lacked Jurisdiction Over Revocable Trust, Despite Claim of Equitable Recoupment.  </w:instrText>
      </w:r>
      <w:r w:rsidR="00800BE7">
        <w:rPr>
          <w:b/>
          <w:bCs/>
          <w:i/>
          <w:iCs/>
        </w:rPr>
        <w:instrText>Estate of Anderson v. Comm’r</w:instrText>
      </w:r>
      <w:r w:rsidR="00800BE7">
        <w:rPr>
          <w:b/>
          <w:bCs/>
        </w:rPr>
        <w:instrText>, 2011 WL 3241949 (5</w:instrText>
      </w:r>
      <w:r w:rsidR="00800BE7">
        <w:rPr>
          <w:b/>
          <w:bCs/>
          <w:vertAlign w:val="superscript"/>
        </w:rPr>
        <w:instrText>th</w:instrText>
      </w:r>
      <w:r w:rsidR="00800BE7">
        <w:rPr>
          <w:b/>
          <w:bCs/>
        </w:rPr>
        <w:instrText xml:space="preserve"> Cir. July 27, 2011) (slip opinion)</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Deane Anderson established a revocable trust with Randall K. and Dennis L. Whited as beneficiaries and, after Deane’s death, trustees.  Deane’s estate tax return and tax payment were due on December 30, 2011, and on September 30, 2002, his estate paid the IRS $20,000 and asked for an extension of time to file the estate tax return.  The IRS granted a six</w:t>
      </w:r>
      <w:r>
        <w:noBreakHyphen/>
        <w:t>month extension, giving the estate until to March 30, 2003 to file its return.  The estate claimed that the IRS later granted it a second extension to file its return but that it then revoked that extension.  The IRS claimed that the estate asked for a second extension, but that it was granted only an extension of the time to pay  taxes. The estate later filed its tax return and submitted another payment of $1,000.   The estate asked the IRS to calculate the tax, and the IRS determined that the estate owed $5,673.02, and issued a $15,411.62 refund.  On audit, the IRS rejected a $90,000 deduction for a "net loss during administration" from a commodities trade and assessed a $52,946 deficiency.  The estate and trust petitioned the Tax Court for a redetermination of the deficiency and late</w:t>
      </w:r>
      <w:r>
        <w:noBreakHyphen/>
        <w:t>filing penalty, never arguing that the deductions were allowable, but contending that the Notice of Defi</w:t>
      </w:r>
      <w:r>
        <w:softHyphen/>
        <w:t xml:space="preserve">cience was improper and that the IRS was estopped from pursuing the deficiency. </w:t>
      </w:r>
    </w:p>
    <w:p w:rsidR="00800BE7" w:rsidRDefault="00800BE7">
      <w:pPr>
        <w:widowControl/>
        <w:ind w:left="2160" w:firstLine="720"/>
        <w:jc w:val="both"/>
      </w:pPr>
      <w:r>
        <w:t>The Tax Court granted the IRS' motion to dismiss the cases with respect to the trust, because the court “ha[d] no jurisdiction over th[e] Trust, or those individuals, [the Whiteds,] in their individual capacities in this case."  After discovery, the IRS moved for sum</w:t>
      </w:r>
      <w:r>
        <w:softHyphen/>
        <w:t>mary judgment and the estate filed a cross</w:t>
      </w:r>
      <w:r>
        <w:noBreakHyphen/>
        <w:t>motion for summary judgment. The Tax Court granted the IRS' motion, denied the estate's cross</w:t>
      </w:r>
      <w:r>
        <w:noBreakHyphen/>
        <w:t xml:space="preserve"> motion, and sustained the deficiency, and a $9,655 late-filing penalty.</w:t>
      </w:r>
    </w:p>
    <w:p w:rsidR="00800BE7" w:rsidRDefault="00800BE7">
      <w:pPr>
        <w:widowControl/>
        <w:ind w:left="2160" w:firstLine="720"/>
        <w:jc w:val="both"/>
      </w:pPr>
      <w:r>
        <w:t xml:space="preserve">The Fifth Circuit, in a per curiam opinion, affirmed the decisions of the Tax Court.  The court held that the Tax Court had no jurisdiction over the trust or the Whiteds in their individual capacities because no notice of tax deficiency or liability had been issued to them.  The estate conceded that it had no equitable recoupment claim with respect to the $90,000 commodities loss, but argued that because it cannot claim equitable recoupment as a defense against its own deficiency, the Tax Court must have jurisdiction over the trust's claim for an equitable recoupment defense against its tax liability.  The court disagreed, noting that the Tax Court’s jurisdiction is limited to cases </w:t>
      </w:r>
      <w:r>
        <w:lastRenderedPageBreak/>
        <w:t>where a deficiency has been assessed, and that the doctrine of equitable recoupment cannot be raised without jurisdiction.</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Estate Tax Refund Suit Dismissed as Untimely.  </w:t>
      </w:r>
      <w:r w:rsidR="00800BE7">
        <w:rPr>
          <w:b/>
          <w:bCs/>
          <w:i/>
          <w:iCs/>
        </w:rPr>
        <w:t>Green v. United States</w:t>
      </w:r>
      <w:r w:rsidR="00800BE7">
        <w:rPr>
          <w:b/>
          <w:bCs/>
        </w:rPr>
        <w:t xml:space="preserve">, 2011 WL 2621003 (10th Cir., July 5, 2011) (slip copy), </w:t>
      </w:r>
      <w:r w:rsidR="00800BE7">
        <w:rPr>
          <w:b/>
          <w:bCs/>
          <w:i/>
          <w:iCs/>
        </w:rPr>
        <w:t xml:space="preserve">aff’g by unpub’d order </w:t>
      </w:r>
      <w:r w:rsidR="00800BE7">
        <w:rPr>
          <w:b/>
          <w:bCs/>
        </w:rPr>
        <w:t>2010 WL 3258566, 106 A.F.T.R.2d 2010</w:t>
      </w:r>
      <w:r w:rsidR="00800BE7">
        <w:rPr>
          <w:b/>
          <w:bCs/>
        </w:rPr>
        <w:noBreakHyphen/>
        <w:t>5906 (N.D. Okla., 2010)</w:t>
      </w:r>
      <w:r>
        <w:fldChar w:fldCharType="begin"/>
      </w:r>
      <w:r w:rsidR="00800BE7">
        <w:instrText>tc \l3 "</w:instrText>
      </w:r>
      <w:r w:rsidR="00800BE7">
        <w:rPr>
          <w:b/>
          <w:bCs/>
        </w:rPr>
        <w:instrText>Field result goes here</w:instrText>
      </w:r>
      <w:r w:rsidR="00800BE7">
        <w:rPr>
          <w:b/>
          <w:bCs/>
        </w:rPr>
        <w:tab/>
        <w:instrText xml:space="preserve">Estate Tax Refund Suit Dismissed as Untimely.  </w:instrText>
      </w:r>
      <w:r w:rsidR="00800BE7">
        <w:rPr>
          <w:b/>
          <w:bCs/>
          <w:i/>
          <w:iCs/>
        </w:rPr>
        <w:instrText>Green v. United States</w:instrText>
      </w:r>
      <w:r w:rsidR="00800BE7">
        <w:rPr>
          <w:b/>
          <w:bCs/>
        </w:rPr>
        <w:instrText xml:space="preserve">, 2011 WL 2621003 (10th Cir., July 5, 2011) (slip copy), </w:instrText>
      </w:r>
      <w:r w:rsidR="00800BE7">
        <w:rPr>
          <w:b/>
          <w:bCs/>
          <w:i/>
          <w:iCs/>
        </w:rPr>
        <w:instrText xml:space="preserve">aff’g by unpub’d order </w:instrText>
      </w:r>
      <w:r w:rsidR="00800BE7">
        <w:rPr>
          <w:b/>
          <w:bCs/>
        </w:rPr>
        <w:instrText>2010 WL 3258566, 106 A.F.T.R.2d 2010</w:instrText>
      </w:r>
      <w:r w:rsidR="00800BE7">
        <w:rPr>
          <w:b/>
          <w:bCs/>
        </w:rPr>
        <w:noBreakHyphen/>
        <w:instrText>5906 (N.D. Okla., 2010)</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Robert C. Green died in 1980 and his wife, Gladys, was sole benefi</w:t>
      </w:r>
      <w:r>
        <w:softHyphen/>
        <w:t>ciary.  In 1982, the estate filed a tax return reporting it owed $75,798 in taxes.  In 1985, IRS assessed additional taxes of $83,422.  The estate failed to pay the taxes and the IRS filed a collection action in 1998.  The administrator of Mr. Green’s estate confessed judgment for the taxes and, in 1989, the district court entered judgment for the IRS in the amount of $480,588.  The IRS filed its judgment in the probate court.  In 1996, the probate court ordered that assets remaining after paying administration expenses and attorney’s fees, $713,292, be paid to the government.  The decedent’s widow, as successor administrator, received notices of the filings and actions taken by the court during the probate proceedings.  In 2002, the successor administrator filed suit against the government in a Freedom of Information Act action, for documents concerning the IRS collection efforts respecting the estate. The IRS produced more than 2,300 pages of documents.  Mrs. Green sued in federal court for wrongful levy (Section 7426), unauthorized disclosure (Section 7431), failure to release a lien (Section 7432), and unauthorized collection activity (Section 7433). The complaint also alleged that the IRS had seized her property in violation of the Fourth Amendment.  The District Court dismissed the complaint.  In the fall of 2005, Ms. Green filed a new suit against the IRS, asserting wrongful levy and constitutional violations. The District Court held that the statute of limitations barred the wrongful levy claim and entered judgment in favor of the United States.  In 2007, Ms. Green filed a suit for an estate tax refund.  The District Court rejected this claim, as well.  Ms. Green argued that she had sent a protest letter to the IRS on April 17, 1996, but that she had received no response.  Ms. Green was unable to produce a copy of the letter to show that it constituted a claim, and the court dismissed the complaint without prejudice.  In February 2010, Ms. Green, again through her guardian, filed this suit in which she sought a refund under § 7422 of the taxes, interest, and penalties collected from the estate in 1996.  She provided three documents that were not part of her pleadings in her earlier refund suit: (1) an April 8, 1996 letter from her to then United States Senator Don Nickles in which she asked for his help in stopping the proposed sale of estate assets; (2) an April 28, 1996 letter from Janice D. Green to a regional commissioner of the IRS in which she outlined her belief that a piece of proposed Congres</w:t>
      </w:r>
      <w:r>
        <w:softHyphen/>
        <w:t xml:space="preserve">sional legislation "could help my mother and other taxpayers in similar situations," asked him to stop the proposed sale of estate assets, and explained that an oil industry bust in Oklahoma at the time of her father's death caused the estate to be overvalued; and (3) a July 18, 2002 letter from Janice D. Green to the district director of the IRS, which said it was an "administrative claim," under Sections </w:t>
      </w:r>
      <w:r>
        <w:lastRenderedPageBreak/>
        <w:t>7433 (unauthorized collection activity), 7432 (failure to release lien), and 7431 (unauthorized disclosure).</w:t>
      </w:r>
    </w:p>
    <w:p w:rsidR="00800BE7" w:rsidRDefault="00800BE7">
      <w:pPr>
        <w:widowControl/>
        <w:ind w:left="2160" w:firstLine="720"/>
        <w:jc w:val="both"/>
      </w:pPr>
      <w:r>
        <w:t>The U.S. District Court for the Northern District of Oklahoma held that Ms. Green lacked standing, because the tax was paid by the estate.</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Tenth Circuit (Baldock) affirmed the dismissal of the estate tax refund suit, but on the grounds that the estate failed to submit a timely refund claim to the IRS.  The court noted that the filing of a timely refund claim is an absolute requirement for a valid suit for a refund.  </w:t>
      </w:r>
      <w:r>
        <w:rPr>
          <w:i/>
          <w:iCs/>
        </w:rPr>
        <w:t>United States v. Dalm</w:t>
      </w:r>
      <w:r>
        <w:t>, 494 U.S. 596, 602 (1990).  Further</w:t>
      </w:r>
      <w:r>
        <w:softHyphen/>
        <w:t>more, the claim must be filed within the later of two years after the tax was paid or three years after the return was filed.  The court stated that it did not need to decide whether the April, 1996 letters consti</w:t>
      </w:r>
      <w:r>
        <w:softHyphen/>
        <w:t>tuted an informal claim, since they were even then too late.</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Late Payment Penalties Assessed Against Estate Because of Deficient Request for Extension.  </w:t>
      </w:r>
      <w:r w:rsidR="00800BE7">
        <w:rPr>
          <w:b/>
          <w:bCs/>
          <w:i/>
          <w:iCs/>
        </w:rPr>
        <w:t>Baccei v. United States</w:t>
      </w:r>
      <w:r w:rsidR="00800BE7">
        <w:rPr>
          <w:b/>
          <w:bCs/>
        </w:rPr>
        <w:t>, 632 F.3d 1140 (9</w:t>
      </w:r>
      <w:r w:rsidR="00800BE7">
        <w:rPr>
          <w:b/>
          <w:bCs/>
          <w:vertAlign w:val="superscript"/>
        </w:rPr>
        <w:t>th</w:t>
      </w:r>
      <w:r w:rsidR="00800BE7">
        <w:rPr>
          <w:b/>
          <w:bCs/>
        </w:rPr>
        <w:t xml:space="preserve"> Cir. Feb. 16, 2011), </w:t>
      </w:r>
      <w:r w:rsidR="00800BE7">
        <w:rPr>
          <w:b/>
          <w:bCs/>
          <w:i/>
          <w:iCs/>
        </w:rPr>
        <w:t xml:space="preserve">aff’g </w:t>
      </w:r>
      <w:r w:rsidR="00800BE7">
        <w:rPr>
          <w:b/>
          <w:bCs/>
        </w:rPr>
        <w:t>2008 WL 2561876, 101 A.F.T.R.2d 2008</w:t>
      </w:r>
      <w:r w:rsidR="00800BE7">
        <w:rPr>
          <w:b/>
          <w:bCs/>
        </w:rPr>
        <w:noBreakHyphen/>
        <w:t xml:space="preserve">2717 (N.D. Cal. 2008), </w:t>
      </w:r>
      <w:r w:rsidR="00800BE7">
        <w:rPr>
          <w:b/>
          <w:bCs/>
          <w:i/>
          <w:iCs/>
        </w:rPr>
        <w:t xml:space="preserve">further order </w:t>
      </w:r>
      <w:r w:rsidR="00800BE7">
        <w:rPr>
          <w:b/>
          <w:bCs/>
        </w:rPr>
        <w:t>2008 WL 4345113, 102 A.F.T.R.2d 2008</w:t>
      </w:r>
      <w:r w:rsidR="00800BE7">
        <w:rPr>
          <w:b/>
          <w:bCs/>
        </w:rPr>
        <w:noBreakHyphen/>
        <w:t>5801 (N.D. Cal. 2008)</w:t>
      </w:r>
      <w:r>
        <w:fldChar w:fldCharType="begin"/>
      </w:r>
      <w:r w:rsidR="00800BE7">
        <w:instrText>tc \l3 "</w:instrText>
      </w:r>
      <w:r w:rsidR="00800BE7">
        <w:rPr>
          <w:b/>
          <w:bCs/>
        </w:rPr>
        <w:instrText>Field result goes here</w:instrText>
      </w:r>
      <w:r w:rsidR="00800BE7">
        <w:rPr>
          <w:b/>
          <w:bCs/>
        </w:rPr>
        <w:tab/>
        <w:instrText xml:space="preserve">Late Payment Penalties Assessed Against Estate Because of Deficient Request for Extension.  </w:instrText>
      </w:r>
      <w:r w:rsidR="00800BE7">
        <w:rPr>
          <w:b/>
          <w:bCs/>
          <w:i/>
          <w:iCs/>
        </w:rPr>
        <w:instrText>Baccei v. United States</w:instrText>
      </w:r>
      <w:r w:rsidR="00800BE7">
        <w:rPr>
          <w:b/>
          <w:bCs/>
        </w:rPr>
        <w:instrText>, 632 F.3d 1140 (9</w:instrText>
      </w:r>
      <w:r w:rsidR="00800BE7">
        <w:rPr>
          <w:b/>
          <w:bCs/>
          <w:vertAlign w:val="superscript"/>
        </w:rPr>
        <w:instrText>th</w:instrText>
      </w:r>
      <w:r w:rsidR="00800BE7">
        <w:rPr>
          <w:b/>
          <w:bCs/>
        </w:rPr>
        <w:instrText xml:space="preserve"> Cir. Feb. 16, 2011), </w:instrText>
      </w:r>
      <w:r w:rsidR="00800BE7">
        <w:rPr>
          <w:b/>
          <w:bCs/>
          <w:i/>
          <w:iCs/>
        </w:rPr>
        <w:instrText xml:space="preserve">aff’g </w:instrText>
      </w:r>
      <w:r w:rsidR="00800BE7">
        <w:rPr>
          <w:b/>
          <w:bCs/>
        </w:rPr>
        <w:instrText>2008 WL 2561876, 101 A.F.T.R.2d 2008</w:instrText>
      </w:r>
      <w:r w:rsidR="00800BE7">
        <w:rPr>
          <w:b/>
          <w:bCs/>
        </w:rPr>
        <w:noBreakHyphen/>
        <w:instrText xml:space="preserve">2717 (N.D. Cal. 2008), </w:instrText>
      </w:r>
      <w:r w:rsidR="00800BE7">
        <w:rPr>
          <w:b/>
          <w:bCs/>
          <w:i/>
          <w:iCs/>
        </w:rPr>
        <w:instrText xml:space="preserve">further order </w:instrText>
      </w:r>
      <w:r w:rsidR="00800BE7">
        <w:rPr>
          <w:b/>
          <w:bCs/>
        </w:rPr>
        <w:instrText>2008 WL 4345113, 102 A.F.T.R.2d 2008</w:instrText>
      </w:r>
      <w:r w:rsidR="00800BE7">
        <w:rPr>
          <w:b/>
          <w:bCs/>
        </w:rPr>
        <w:noBreakHyphen/>
        <w:instrText>5801 (N.D. Cal. 2008)</w:instrText>
      </w:r>
      <w:r>
        <w:fldChar w:fldCharType="end"/>
      </w:r>
    </w:p>
    <w:p w:rsidR="00800BE7" w:rsidRDefault="00800BE7">
      <w:pPr>
        <w:keepNext/>
        <w:keepLines/>
        <w:widowControl/>
        <w:jc w:val="both"/>
      </w:pPr>
    </w:p>
    <w:p w:rsidR="00800BE7" w:rsidRDefault="00800BE7">
      <w:pPr>
        <w:keepLines/>
        <w:widowControl/>
        <w:ind w:left="2160"/>
        <w:jc w:val="both"/>
      </w:pPr>
      <w:r>
        <w:t>Ronald Baccei was the executor of an estate.  He hired a CPA to prepare and file a federal estate tax return.  The CPA filed a timely request for extension, but omitted to complete Part III of the applica</w:t>
      </w:r>
      <w:r>
        <w:softHyphen/>
        <w:t>tion – the request for an extension of the time in which to pay the tax.  The accountant did, however, enclose a supplemental letter explaining the reason for the request for time both to pay and to file.  The estate tax return was filed on time, as extended, with a $1.6 million payment.  The IRS assessed a $58,954.28 late-payment penalty and $69,801 of interest.  The executor paid the tax and sued for a refund, based on the extension of the time to file and pay.</w:t>
      </w:r>
    </w:p>
    <w:p w:rsidR="00800BE7" w:rsidRDefault="00800BE7">
      <w:pPr>
        <w:widowControl/>
        <w:ind w:left="2160" w:firstLine="720"/>
        <w:jc w:val="both"/>
      </w:pPr>
      <w:r>
        <w:t>The U.S. District Court for the Northern District of California (Judge Hamilton) granted the IRS summary judgment, finding that the executor did not properly request an extension of time to pay the taxes and did not establish reasonable cause for the estate’s failure to pay.  The district court rejected the estate’s argument that the request substantially complied with the regulations, because the regulations requirement was substantive, rather than procedural, and the substantial compliance doctrine applies only to procedural regulations.  The district court also held that reliance upon a “well</w:t>
      </w:r>
      <w:r>
        <w:noBreakHyphen/>
        <w:t xml:space="preserve"> qualified and knowledgeable CPA” does not constitute reasonable cause.</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Ninth Circuit (Judge Burgess) affirmed, finding that the estate had the burden of proving that the failure to pay was due to reasonable cause, and it had failed to do so.  The court refused to </w:t>
      </w:r>
      <w:r>
        <w:lastRenderedPageBreak/>
        <w:t>hear the estate’s argument that its financial need to liquidate real property assets constituted reasonable cause, because it had not been raised in the trial court.  The court rejected the application of the doctrine of substantial compliance, finding that the requirement that the application state the period of the extension requested is “neither unclear nor unimportant; rather it is essential to the IRS's tax collec</w:t>
      </w:r>
      <w:r>
        <w:softHyphen/>
        <w:t xml:space="preserve">tion efforts because it allows the IRS to assess the reasonableness of the taxpayer's request.”  The court rejected the application of the doctrine of equitable estoppel, finding that the IRS had no duty to inform the estate that its payment extension request was deficient or provide an opportunity to amend the extension application, and equitable estoppel applies only if the IRS engaged in affirmative misconduct.  Finally, the court rejected the claim that reliance on a CPA was reasonable cause, citing </w:t>
      </w:r>
      <w:r>
        <w:rPr>
          <w:i/>
          <w:iCs/>
        </w:rPr>
        <w:t>United States v. Boyle</w:t>
      </w:r>
      <w:r>
        <w:t>, 469 U.S. 241 (1985) (“the taxpayer's reliance on an agent. . . is not ‘reasonable cause' for a late filing").</w:t>
      </w:r>
      <w:r w:rsidR="00BC7053">
        <w:fldChar w:fldCharType="begin"/>
      </w:r>
      <w:r>
        <w:instrText>LISTNUM Outline \l 7</w:instrText>
      </w:r>
      <w:r w:rsidR="00BC7053">
        <w:fldChar w:fldCharType="end"/>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Fourth Circuit Affirms Delay Penalty Against Attorney Who Made Misrepresentations to Both Tax Court and State Court.  </w:t>
      </w:r>
      <w:r w:rsidR="00800BE7">
        <w:rPr>
          <w:b/>
          <w:bCs/>
          <w:i/>
          <w:iCs/>
        </w:rPr>
        <w:t>Estate of Allison v. Comm’r</w:t>
      </w:r>
      <w:r w:rsidR="00800BE7">
        <w:rPr>
          <w:b/>
          <w:bCs/>
        </w:rPr>
        <w:t>, 403 Fed.Appx. 866 (4</w:t>
      </w:r>
      <w:r w:rsidR="00800BE7">
        <w:rPr>
          <w:b/>
          <w:bCs/>
          <w:vertAlign w:val="superscript"/>
        </w:rPr>
        <w:t>th</w:t>
      </w:r>
      <w:r w:rsidR="00800BE7">
        <w:rPr>
          <w:b/>
          <w:bCs/>
        </w:rPr>
        <w:t xml:space="preserve"> Cir. Dec. 4, 2010), </w:t>
      </w:r>
      <w:r w:rsidR="00800BE7">
        <w:rPr>
          <w:b/>
          <w:bCs/>
          <w:i/>
          <w:iCs/>
        </w:rPr>
        <w:t>aff’g per curiam without opinion</w:t>
      </w:r>
      <w:r w:rsidR="00800BE7">
        <w:rPr>
          <w:b/>
          <w:bCs/>
        </w:rPr>
        <w:t>, T.C. Memo 2008</w:t>
      </w:r>
      <w:r w:rsidR="00800BE7">
        <w:rPr>
          <w:b/>
          <w:bCs/>
        </w:rPr>
        <w:noBreakHyphen/>
        <w:t>149</w:t>
      </w:r>
      <w:r>
        <w:fldChar w:fldCharType="begin"/>
      </w:r>
      <w:r w:rsidR="00800BE7">
        <w:instrText>tc \l3 "</w:instrText>
      </w:r>
      <w:r w:rsidR="00800BE7">
        <w:rPr>
          <w:b/>
          <w:bCs/>
        </w:rPr>
        <w:instrText>Field result goes here</w:instrText>
      </w:r>
      <w:r w:rsidR="00800BE7">
        <w:rPr>
          <w:b/>
          <w:bCs/>
        </w:rPr>
        <w:tab/>
        <w:instrText xml:space="preserve">Fourth Circuit Affirms Delay Penalty Against Attorney Who Made Misrepresentations to Both Tax Court and State Court.  </w:instrText>
      </w:r>
      <w:r w:rsidR="00800BE7">
        <w:rPr>
          <w:b/>
          <w:bCs/>
          <w:i/>
          <w:iCs/>
        </w:rPr>
        <w:instrText>Estate of Allison v. Comm’r</w:instrText>
      </w:r>
      <w:r w:rsidR="00800BE7">
        <w:rPr>
          <w:b/>
          <w:bCs/>
        </w:rPr>
        <w:instrText>, 403 Fed.Appx. 866 (4</w:instrText>
      </w:r>
      <w:r w:rsidR="00800BE7">
        <w:rPr>
          <w:b/>
          <w:bCs/>
          <w:vertAlign w:val="superscript"/>
        </w:rPr>
        <w:instrText>th</w:instrText>
      </w:r>
      <w:r w:rsidR="00800BE7">
        <w:rPr>
          <w:b/>
          <w:bCs/>
        </w:rPr>
        <w:instrText xml:space="preserve"> Cir. Dec. 4, 2010), </w:instrText>
      </w:r>
      <w:r w:rsidR="00800BE7">
        <w:rPr>
          <w:b/>
          <w:bCs/>
          <w:i/>
          <w:iCs/>
        </w:rPr>
        <w:instrText>aff’g per curiam without opinion</w:instrText>
      </w:r>
      <w:r w:rsidR="00800BE7">
        <w:rPr>
          <w:b/>
          <w:bCs/>
        </w:rPr>
        <w:instrText>, T.C. Memo 2008</w:instrText>
      </w:r>
      <w:r w:rsidR="00800BE7">
        <w:rPr>
          <w:b/>
          <w:bCs/>
        </w:rPr>
        <w:noBreakHyphen/>
        <w:instrText>149</w:instrText>
      </w:r>
      <w:r>
        <w:fldChar w:fldCharType="end"/>
      </w:r>
    </w:p>
    <w:p w:rsidR="00800BE7" w:rsidRDefault="00800BE7">
      <w:pPr>
        <w:keepNext/>
        <w:keepLines/>
        <w:widowControl/>
        <w:jc w:val="both"/>
      </w:pPr>
    </w:p>
    <w:p w:rsidR="00800BE7" w:rsidRDefault="00800BE7">
      <w:pPr>
        <w:keepLines/>
        <w:widowControl/>
        <w:ind w:left="2160"/>
        <w:jc w:val="both"/>
      </w:pPr>
      <w:r>
        <w:t>Daniel was both the personal representative of and attorney for the estate of his mother.  The estate was simultaneously involved in both two disputes before the Tax Court and a dispute involving the probate of the estate in state court.  The probate case was opened in 1995, and involved a dispute over certain administration expenses.  The Tax Court cases opened in 2000, less than two months after the probate court had ordered Daniel to close the estate.  The Tax Court cases involved questions relating to certain taxable gifts made by the decedent. The IRS and the estate resolved all of the tax issues, except for a question of the fees and commissions claimed on the Federal Estate Tax Return, which were the subject of the probate litigation.  The attorney obtained six continuances of the Tax Court cases based on his representation that resolution of the tax cases required only the final resolution of the probate case.  He obtained several continuances of the probate case, and avoided a contempt citation, by representing to the probate court that resolution of the probate case awaited only resolution of the tax cases.</w:t>
      </w:r>
    </w:p>
    <w:p w:rsidR="00800BE7" w:rsidRDefault="00800BE7">
      <w:pPr>
        <w:widowControl/>
        <w:ind w:left="2160" w:firstLine="720"/>
        <w:jc w:val="both"/>
      </w:pPr>
      <w:r>
        <w:t xml:space="preserve">The Tax Court concluded that the attorney had made false representations before the court in order to delay proceedings, and it imposed upon the attorney a delay penalty under Section 6673(a)(2) equal to the costs incurred by the IRS in the matter (which costs the IRS was directed to calculate for the court).  The court declined to </w:t>
      </w:r>
      <w:r>
        <w:lastRenderedPageBreak/>
        <w:t>impose the penalty of up to $25,000 on the estate under Section 6673(a)(1)(A), finding that it would harm persons other than the attorney, who was the real party at fault.  The court noted that the attorney’s “education and legal experience, not to mention his admission to the Tax Court bar, underscore the egregiousness of his con</w:t>
      </w:r>
      <w:r>
        <w:softHyphen/>
        <w:t>duct.”  The court also noted that, because the attorney was currently admitted to practice before the Tax Court, “other sanctions may be appropriate.”</w:t>
      </w:r>
    </w:p>
    <w:p w:rsidR="00800BE7" w:rsidRDefault="00800BE7">
      <w:pPr>
        <w:widowControl/>
        <w:ind w:left="2160" w:firstLine="720"/>
        <w:jc w:val="both"/>
      </w:pPr>
      <w:r>
        <w:t xml:space="preserve">The Fourth Circuit affirmed </w:t>
      </w:r>
      <w:r>
        <w:rPr>
          <w:i/>
          <w:iCs/>
        </w:rPr>
        <w:t>per curiam</w:t>
      </w:r>
      <w:r>
        <w:t>, without a written opinion.</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Distinguishing Estate Tax Payment from Estate Tax Deposit Can Determine Whether Statute of Limitations Bars Refund Claim.  </w:t>
      </w:r>
      <w:r w:rsidR="00800BE7">
        <w:rPr>
          <w:b/>
          <w:bCs/>
          <w:i/>
          <w:iCs/>
        </w:rPr>
        <w:t>Boensel v.  United States</w:t>
      </w:r>
      <w:r w:rsidR="00800BE7">
        <w:rPr>
          <w:b/>
          <w:bCs/>
        </w:rPr>
        <w:t>, ___ Fed. Cl. ___, 2011 WL 3438401, 108 A.F.T.R.2d 2011</w:t>
      </w:r>
      <w:r w:rsidR="00800BE7">
        <w:rPr>
          <w:b/>
          <w:bCs/>
        </w:rPr>
        <w:noBreakHyphen/>
        <w:t>5626 (Fed. Cl.  Aug.  5, 2011)</w:t>
      </w:r>
      <w:r>
        <w:fldChar w:fldCharType="begin"/>
      </w:r>
      <w:r w:rsidR="00800BE7">
        <w:instrText>tc \l3 "</w:instrText>
      </w:r>
      <w:r w:rsidR="00800BE7">
        <w:rPr>
          <w:b/>
          <w:bCs/>
        </w:rPr>
        <w:instrText>Field result goes here</w:instrText>
      </w:r>
      <w:r w:rsidR="00800BE7">
        <w:rPr>
          <w:b/>
          <w:bCs/>
        </w:rPr>
        <w:tab/>
        <w:instrText xml:space="preserve">Distinguishing Estate Tax Payment from Estate Tax Deposit Can Determine Whether Statute of Limitations Bars Refund Claim.  </w:instrText>
      </w:r>
      <w:r w:rsidR="00800BE7">
        <w:rPr>
          <w:b/>
          <w:bCs/>
          <w:i/>
          <w:iCs/>
        </w:rPr>
        <w:instrText>Boensel v.  United States</w:instrText>
      </w:r>
      <w:r w:rsidR="00800BE7">
        <w:rPr>
          <w:b/>
          <w:bCs/>
        </w:rPr>
        <w:instrText>, ___ Fed. Cl. ___, 2011 WL 3438401, 108 A.F.T.R.2d 2011</w:instrText>
      </w:r>
      <w:r w:rsidR="00800BE7">
        <w:rPr>
          <w:b/>
          <w:bCs/>
        </w:rPr>
        <w:noBreakHyphen/>
        <w:instrText>5626 (Fed. Cl.  Aug.  5, 2011)</w:instrText>
      </w:r>
      <w:r>
        <w:fldChar w:fldCharType="end"/>
      </w:r>
    </w:p>
    <w:p w:rsidR="00800BE7" w:rsidRDefault="00800BE7">
      <w:pPr>
        <w:keepNext/>
        <w:keepLines/>
        <w:widowControl/>
        <w:jc w:val="both"/>
      </w:pPr>
    </w:p>
    <w:p w:rsidR="00800BE7" w:rsidRDefault="00800BE7">
      <w:pPr>
        <w:keepLines/>
        <w:widowControl/>
        <w:ind w:left="2160"/>
        <w:jc w:val="both"/>
      </w:pPr>
      <w:r>
        <w:t>Donald Boensel was the executor of his father’s estate.  When his father died, Donald was dealing with personal issues and a failing business, so he hired an accounting firm and a law firm to handle the estate.  Donald’s attorneys recommended that, as the date for filing the estate tax return neared and they had not yet fixed the values of the estate assets, he should estimate the estate tax liabilities and remit $435,000, which was ten percent more than the accountants believed the estate would owe.  Donald assumed that he had no further obligation to pay estate taxes, but in 2005, the IRS notified him that he still had to file an estate tax return.  He filed the return in 2006, stating that the estate tax liability was $323,140, and that, therefore, he was due a $111,850 refund.</w:t>
      </w:r>
    </w:p>
    <w:p w:rsidR="00800BE7" w:rsidRDefault="00800BE7">
      <w:pPr>
        <w:widowControl/>
        <w:ind w:left="2160" w:firstLine="720"/>
        <w:jc w:val="both"/>
      </w:pPr>
      <w:r>
        <w:t>The IRS disallowed the refund claim as being untimely, because it was claimed more than three years after the overpayment.  Code § 6511(b)(2). Boensel filed a complaint with the Court of Federal Claims, arguing that the three</w:t>
      </w:r>
      <w:r>
        <w:noBreakHyphen/>
        <w:t>year look</w:t>
      </w:r>
      <w:r>
        <w:noBreakHyphen/>
        <w:t>back period for refund claims should not apply because the $435,000 remittance was actually a deposit, rather than a payment of estimated taxes.</w:t>
      </w:r>
    </w:p>
    <w:p w:rsidR="00800BE7" w:rsidRDefault="00800BE7">
      <w:pPr>
        <w:widowControl/>
        <w:ind w:left="2160" w:firstLine="720"/>
        <w:jc w:val="both"/>
      </w:pPr>
      <w:r>
        <w:t xml:space="preserve">The Court (Judge Firestone) held for the IRS, finding that the estate had made an estimated tax payment, rather than a deposit.  The court noted that when the remittance was made in 1999, the IRS did not actually authorize taxpayers to make deposits to meet potential tax liabilities.  Section 6603, which permits such deposits, was not enacted until 2004.  The court discussed the decision of the Supreme Court in </w:t>
      </w:r>
      <w:r>
        <w:rPr>
          <w:i/>
          <w:iCs/>
        </w:rPr>
        <w:t>Rosenman v. United States</w:t>
      </w:r>
      <w:r>
        <w:t xml:space="preserve">, 323 U.S. 658 (1945), where the court held that an estate tax remittance was a deposit rather than a payment, because there was no outstanding assessment against the estate at the time of the remittance.  The </w:t>
      </w:r>
      <w:r>
        <w:lastRenderedPageBreak/>
        <w:t xml:space="preserve">court held that the case law since </w:t>
      </w:r>
      <w:r>
        <w:rPr>
          <w:i/>
          <w:iCs/>
        </w:rPr>
        <w:t>Rosenman</w:t>
      </w:r>
      <w:r>
        <w:t xml:space="preserve"> now required consideration of all relevant facts and circumstances to determine whether a remittance is a deposit or a payment.  In this case, the court focused on the fact that the executor failed to contest the estate’s liability when it submitted the remittance, tending to show that the remittance was a payment.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Government Can Decide After Initial Trial to Contest $12 Million Estate Tax Deduction for Executor’s and Attorneys’ Fees.  </w:t>
      </w:r>
      <w:r w:rsidR="00800BE7">
        <w:rPr>
          <w:b/>
          <w:bCs/>
          <w:i/>
          <w:iCs/>
        </w:rPr>
        <w:t>Keller v. United States</w:t>
      </w:r>
      <w:r w:rsidR="00800BE7">
        <w:rPr>
          <w:b/>
          <w:bCs/>
        </w:rPr>
        <w:t>, 2011 WL 1642189, 107 A.F.T.R.2d 2011</w:t>
      </w:r>
      <w:r w:rsidR="00800BE7">
        <w:rPr>
          <w:b/>
          <w:bCs/>
        </w:rPr>
        <w:noBreakHyphen/>
        <w:t>2025 (S.D. Tex. April 29, 2011) (slip opinion)</w:t>
      </w:r>
      <w:r>
        <w:fldChar w:fldCharType="begin"/>
      </w:r>
      <w:r w:rsidR="00800BE7">
        <w:instrText>tc \l3 "</w:instrText>
      </w:r>
      <w:r w:rsidR="00800BE7">
        <w:rPr>
          <w:b/>
          <w:bCs/>
        </w:rPr>
        <w:instrText>Field result goes here</w:instrText>
      </w:r>
      <w:r w:rsidR="00800BE7">
        <w:rPr>
          <w:b/>
          <w:bCs/>
        </w:rPr>
        <w:tab/>
        <w:instrText xml:space="preserve">Government Can Decide After Initial Trial to Contest $12 Million Estate Tax Deduction for Executor’s and Attorneys’ Fees.  </w:instrText>
      </w:r>
      <w:r w:rsidR="00800BE7">
        <w:rPr>
          <w:b/>
          <w:bCs/>
          <w:i/>
          <w:iCs/>
        </w:rPr>
        <w:instrText>Keller v. United States</w:instrText>
      </w:r>
      <w:r w:rsidR="00800BE7">
        <w:rPr>
          <w:b/>
          <w:bCs/>
        </w:rPr>
        <w:instrText>, 2011 WL 1642189, 107 A.F.T.R.2d 2011</w:instrText>
      </w:r>
      <w:r w:rsidR="00800BE7">
        <w:rPr>
          <w:b/>
          <w:bCs/>
        </w:rPr>
        <w:noBreakHyphen/>
        <w:instrText>2025 (S.D. Tex. April 29, 2011) (slip opinion)</w:instrText>
      </w:r>
      <w:r>
        <w:fldChar w:fldCharType="end"/>
      </w:r>
    </w:p>
    <w:p w:rsidR="00800BE7" w:rsidRDefault="00800BE7">
      <w:pPr>
        <w:keepNext/>
        <w:keepLines/>
        <w:widowControl/>
        <w:jc w:val="both"/>
      </w:pPr>
    </w:p>
    <w:p w:rsidR="00800BE7" w:rsidRDefault="00800BE7">
      <w:pPr>
        <w:keepLines/>
        <w:widowControl/>
        <w:ind w:left="2160"/>
        <w:jc w:val="both"/>
      </w:pPr>
      <w:r>
        <w:t>In August 2009, the district court held that the estate of the decedent, Maude Williams, was entitled to a deduction for executor’s fees and administrative expenses, but left it up to the parties to determine the amount of the deduction.  The executors argued stated that the fees were deductible in full, because the government conceded in an interrogatory submitted before trial, that there was no issue as to the deductibility of the fees.  The government argued that, at the time of the interrogatory, the only claim for such fees was the estimate included on the estate tax return, which had not been finalized.  Also, the government had stated in the interrogatory that it did not challenge these amounts “at this time.”  After trial, the government determined to challenge the deductions.</w:t>
      </w:r>
    </w:p>
    <w:p w:rsidR="00800BE7" w:rsidRDefault="00800BE7">
      <w:pPr>
        <w:widowControl/>
        <w:ind w:left="2160" w:firstLine="720"/>
        <w:jc w:val="both"/>
      </w:pPr>
      <w:r>
        <w:t>The District Court (Judge Rainey) held that, because the payment of executors' and trustees' fees was not even begun until after the Government's interrogatory response, the Government could not have raised its objection to the necessity of the fees in that response.  Also, the qualifying language “at this time” in the response preserved the issue for later raising.</w:t>
      </w:r>
    </w:p>
    <w:p w:rsidR="00800BE7" w:rsidRDefault="00800BE7">
      <w:pPr>
        <w:widowControl/>
        <w:jc w:val="both"/>
      </w:pPr>
    </w:p>
    <w:p w:rsidR="00800BE7" w:rsidRDefault="00800BE7">
      <w:pPr>
        <w:keepNext/>
        <w:keepLines/>
        <w:widowControl/>
        <w:jc w:val="both"/>
        <w:rPr>
          <w:b/>
          <w:bCs/>
        </w:rPr>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Issues Interim Guidance on Referrals for Certain Art Ap</w:t>
      </w:r>
      <w:r w:rsidR="00800BE7">
        <w:rPr>
          <w:b/>
          <w:bCs/>
        </w:rPr>
        <w:softHyphen/>
        <w:t>praisal Services.  SBSE Memo 04</w:t>
      </w:r>
      <w:r w:rsidR="00800BE7">
        <w:rPr>
          <w:b/>
          <w:bCs/>
        </w:rPr>
        <w:noBreakHyphen/>
        <w:t>0111</w:t>
      </w:r>
      <w:r w:rsidR="00800BE7">
        <w:rPr>
          <w:b/>
          <w:bCs/>
        </w:rPr>
        <w:noBreakHyphen/>
        <w:t>008 (Jan. 27, 2011)</w:t>
      </w:r>
      <w:r>
        <w:fldChar w:fldCharType="begin"/>
      </w:r>
      <w:r w:rsidR="00800BE7">
        <w:instrText>tc \l3 "</w:instrText>
      </w:r>
      <w:r w:rsidR="00800BE7">
        <w:rPr>
          <w:b/>
          <w:bCs/>
        </w:rPr>
        <w:instrText>Field result goes here</w:instrText>
      </w:r>
      <w:r w:rsidR="00800BE7">
        <w:rPr>
          <w:b/>
          <w:bCs/>
        </w:rPr>
        <w:tab/>
        <w:instrText>IRS Issues Interim Guidance on Referrals for Certain Art Ap</w:instrText>
      </w:r>
      <w:r w:rsidR="00800BE7">
        <w:rPr>
          <w:b/>
          <w:bCs/>
        </w:rPr>
        <w:softHyphen/>
        <w:instrText>praisal Services.  SBSE Memo 04</w:instrText>
      </w:r>
      <w:r w:rsidR="00800BE7">
        <w:rPr>
          <w:b/>
          <w:bCs/>
        </w:rPr>
        <w:noBreakHyphen/>
        <w:instrText>0111</w:instrText>
      </w:r>
      <w:r w:rsidR="00800BE7">
        <w:rPr>
          <w:b/>
          <w:bCs/>
        </w:rPr>
        <w:noBreakHyphen/>
        <w:instrText>008 (Jan. 27, 2011)</w:instrText>
      </w:r>
      <w:r>
        <w:fldChar w:fldCharType="end"/>
      </w:r>
    </w:p>
    <w:p w:rsidR="00800BE7" w:rsidRDefault="00800BE7">
      <w:pPr>
        <w:keepNext/>
        <w:keepLines/>
        <w:widowControl/>
        <w:jc w:val="both"/>
      </w:pPr>
    </w:p>
    <w:p w:rsidR="00800BE7" w:rsidRDefault="00800BE7">
      <w:pPr>
        <w:keepLines/>
        <w:widowControl/>
        <w:ind w:left="2160"/>
        <w:jc w:val="both"/>
      </w:pPr>
      <w:r>
        <w:t>The IRS has provided interim guidance to agents, requiring that an agent who is valuing a work of art with a claimed value of $50,000 or more, must refer the matter to the IRS Art Appraisal Services.  This is an increase from the previous threshold of $20,000.</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Two Percent Interest Rate on Deferred Estate Taxes on Closely</w:t>
      </w:r>
      <w:r w:rsidR="00800BE7">
        <w:rPr>
          <w:b/>
          <w:bCs/>
        </w:rPr>
        <w:noBreakHyphen/>
        <w:t xml:space="preserve"> Held Business Adjusted for Inflation. Rev. Proc. 2010-40 § 3.27, 2010-46 I.R.B. 663 (Nov. 15, 2010)</w:t>
      </w:r>
      <w:r>
        <w:fldChar w:fldCharType="begin"/>
      </w:r>
      <w:r w:rsidR="00800BE7">
        <w:instrText>tc \l3 "</w:instrText>
      </w:r>
      <w:r w:rsidR="00800BE7">
        <w:rPr>
          <w:b/>
          <w:bCs/>
        </w:rPr>
        <w:instrText>Field result goes here</w:instrText>
      </w:r>
      <w:r w:rsidR="00800BE7">
        <w:rPr>
          <w:b/>
          <w:bCs/>
        </w:rPr>
        <w:tab/>
        <w:instrText>Two Percent Interest Rate on Deferred Estate Taxes on Closely</w:instrText>
      </w:r>
      <w:r w:rsidR="00800BE7">
        <w:rPr>
          <w:b/>
          <w:bCs/>
        </w:rPr>
        <w:noBreakHyphen/>
        <w:instrText xml:space="preserve"> Held Business Adjusted for Inflation. Rev. Proc. 2010-40 § 3.27, 2010-46 I.R.B. 663 (Nov. 15, 2010)</w:instrText>
      </w:r>
      <w:r>
        <w:fldChar w:fldCharType="end"/>
      </w:r>
    </w:p>
    <w:p w:rsidR="00800BE7" w:rsidRDefault="00800BE7">
      <w:pPr>
        <w:keepNext/>
        <w:keepLines/>
        <w:widowControl/>
        <w:jc w:val="both"/>
      </w:pPr>
    </w:p>
    <w:p w:rsidR="00800BE7" w:rsidRDefault="00800BE7">
      <w:pPr>
        <w:keepLines/>
        <w:widowControl/>
        <w:ind w:left="2160"/>
        <w:jc w:val="both"/>
      </w:pPr>
      <w:r>
        <w:t>The value of a closely</w:t>
      </w:r>
      <w:r>
        <w:noBreakHyphen/>
        <w:t>held business interest, the deferred estate taxes on which bear interest at a two percent rate, is increased to  $1,360,000 for estates of decedents dying in 2011.</w:t>
      </w:r>
    </w:p>
    <w:p w:rsidR="00800BE7" w:rsidRDefault="00800BE7">
      <w:pPr>
        <w:widowControl/>
        <w:jc w:val="both"/>
      </w:pPr>
    </w:p>
    <w:p w:rsidR="00800BE7" w:rsidRDefault="00800BE7">
      <w:pPr>
        <w:widowControl/>
        <w:jc w:val="both"/>
      </w:pP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jc w:val="both"/>
      </w:pPr>
      <w:r>
        <w:rPr>
          <w:b/>
          <w:bCs/>
        </w:rPr>
        <w:lastRenderedPageBreak/>
        <w:fldChar w:fldCharType="begin"/>
      </w:r>
      <w:r w:rsidR="00800BE7">
        <w:rPr>
          <w:b/>
          <w:bCs/>
        </w:rPr>
        <w:instrText>LISTNUM Outline \l 1</w:instrText>
      </w:r>
      <w:r>
        <w:rPr>
          <w:b/>
          <w:bCs/>
        </w:rPr>
        <w:fldChar w:fldCharType="end"/>
      </w:r>
      <w:r w:rsidR="00800BE7">
        <w:rPr>
          <w:b/>
          <w:bCs/>
        </w:rPr>
        <w:tab/>
        <w:t>GIFT TAXES</w:t>
      </w:r>
      <w:r>
        <w:fldChar w:fldCharType="begin"/>
      </w:r>
      <w:r w:rsidR="00800BE7">
        <w:instrText>tc \l1 "</w:instrText>
      </w:r>
      <w:r w:rsidR="00800BE7">
        <w:rPr>
          <w:b/>
          <w:bCs/>
        </w:rPr>
        <w:instrText>Field result goes here</w:instrText>
      </w:r>
      <w:r w:rsidR="00800BE7">
        <w:rPr>
          <w:b/>
          <w:bCs/>
        </w:rPr>
        <w:tab/>
        <w:instrText>GIFT TAXES</w:instrText>
      </w:r>
      <w:r>
        <w:fldChar w:fldCharType="end"/>
      </w:r>
    </w:p>
    <w:p w:rsidR="00800BE7" w:rsidRDefault="00800BE7">
      <w:pPr>
        <w:keepNext/>
        <w:keepLines/>
        <w:widowControl/>
        <w:jc w:val="both"/>
      </w:pPr>
    </w:p>
    <w:p w:rsidR="00800BE7" w:rsidRDefault="00BC7053">
      <w:pPr>
        <w:keepNext/>
        <w:keepLines/>
        <w:widowControl/>
        <w:tabs>
          <w:tab w:val="left" w:pos="-1440"/>
        </w:tabs>
        <w:ind w:left="1440" w:hanging="720"/>
        <w:jc w:val="both"/>
      </w:pPr>
      <w:r>
        <w:rPr>
          <w:b/>
          <w:bCs/>
        </w:rPr>
        <w:fldChar w:fldCharType="begin"/>
      </w:r>
      <w:r w:rsidR="00800BE7">
        <w:rPr>
          <w:b/>
          <w:bCs/>
        </w:rPr>
        <w:instrText>LISTNUM Outline \l 2 \s 1</w:instrText>
      </w:r>
      <w:r>
        <w:rPr>
          <w:b/>
          <w:bCs/>
        </w:rPr>
        <w:fldChar w:fldCharType="end"/>
      </w:r>
      <w:r w:rsidR="00800BE7">
        <w:rPr>
          <w:b/>
          <w:bCs/>
        </w:rPr>
        <w:tab/>
        <w:t>Code § 2501.  Taxable Gifts</w:t>
      </w:r>
      <w:r>
        <w:fldChar w:fldCharType="begin"/>
      </w:r>
      <w:r w:rsidR="00800BE7">
        <w:instrText>tc \l2 "</w:instrText>
      </w:r>
      <w:r w:rsidR="00800BE7">
        <w:rPr>
          <w:b/>
          <w:bCs/>
        </w:rPr>
        <w:instrText>Field result goes here</w:instrText>
      </w:r>
      <w:r w:rsidR="00800BE7">
        <w:rPr>
          <w:b/>
          <w:bCs/>
        </w:rPr>
        <w:tab/>
        <w:instrText>Code § 2501.  Taxable Gifts</w:instrText>
      </w:r>
      <w:r>
        <w:fldChar w:fldCharType="end"/>
      </w:r>
    </w:p>
    <w:p w:rsidR="00800BE7" w:rsidRDefault="00800BE7">
      <w:pPr>
        <w:keepNext/>
        <w:keepLines/>
        <w:widowControl/>
        <w:jc w:val="both"/>
      </w:pPr>
    </w:p>
    <w:p w:rsidR="00800BE7" w:rsidRDefault="00800BE7">
      <w:pPr>
        <w:keepNext/>
        <w:keepLines/>
        <w:widowControl/>
        <w:ind w:left="1440"/>
        <w:jc w:val="both"/>
      </w:pPr>
      <w:r>
        <w:rPr>
          <w:b/>
          <w:bCs/>
        </w:rPr>
        <w:t>IRS Adds Gift Tax Consequences of Decanting to No-Ruling List.  Rev. Proc. 2011-3, 2011-1 I.R.B. 111 (Jan. 3, 2011)</w:t>
      </w:r>
      <w:r w:rsidR="00BC7053">
        <w:rPr>
          <w:b/>
          <w:bCs/>
        </w:rPr>
        <w:fldChar w:fldCharType="begin"/>
      </w:r>
      <w:r>
        <w:rPr>
          <w:b/>
          <w:bCs/>
        </w:rPr>
        <w:instrText>tc \l3 "IRS Adds Gift Tax Consequences of Decanting to No-Ruling List.  Rev. Proc. 2011-3, 2011-1 I.R.B. 111 (Jan. 3, 2011)</w:instrText>
      </w:r>
      <w:r w:rsidR="00BC7053">
        <w:rPr>
          <w:b/>
          <w:bCs/>
        </w:rPr>
        <w:fldChar w:fldCharType="end"/>
      </w:r>
    </w:p>
    <w:p w:rsidR="00800BE7" w:rsidRDefault="00800BE7">
      <w:pPr>
        <w:keepNext/>
        <w:keepLines/>
        <w:widowControl/>
        <w:jc w:val="both"/>
      </w:pPr>
    </w:p>
    <w:p w:rsidR="00800BE7" w:rsidRDefault="00800BE7">
      <w:pPr>
        <w:keepLines/>
        <w:widowControl/>
        <w:ind w:left="1440"/>
        <w:jc w:val="both"/>
      </w:pPr>
      <w:r>
        <w:t>The IRS added to its no-rulings list the question of whether decanting that results in a change in beneficial interests is a gift under Section 2501.  This issue is designated one that is currently under study.</w:t>
      </w:r>
    </w:p>
    <w:p w:rsidR="00800BE7" w:rsidRDefault="00800BE7">
      <w:pPr>
        <w:widowControl/>
        <w:ind w:left="1440" w:firstLine="720"/>
        <w:jc w:val="both"/>
      </w:pPr>
      <w:r>
        <w:rPr>
          <w:b/>
          <w:bCs/>
        </w:rPr>
        <w:t>Note.</w:t>
      </w:r>
      <w:r>
        <w:t xml:space="preserve">  See also no-ruling position regarding the income tax and GST tax consequences of decanting, discussed below.</w:t>
      </w:r>
    </w:p>
    <w:p w:rsidR="00800BE7" w:rsidRDefault="00800BE7">
      <w:pPr>
        <w:widowControl/>
        <w:ind w:left="1440" w:firstLine="720"/>
        <w:jc w:val="both"/>
      </w:pPr>
      <w:r>
        <w:t>The IRS appears to be considering a formal ruling on the tax consequences of decanting.  In light of the growing popularity of decanting as a means of modifying the terms of an irrevocable trust, this is important news.  Whether it is good news or bad news depends upon the content of that ruling.</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2503.  Gift Tax Annual Exclusion</w:t>
      </w:r>
      <w:r>
        <w:fldChar w:fldCharType="begin"/>
      </w:r>
      <w:r w:rsidR="00800BE7">
        <w:instrText>tc \l2 "</w:instrText>
      </w:r>
      <w:r w:rsidR="00800BE7">
        <w:rPr>
          <w:b/>
          <w:bCs/>
        </w:rPr>
        <w:instrText>Field result goes here</w:instrText>
      </w:r>
      <w:r w:rsidR="00800BE7">
        <w:rPr>
          <w:b/>
          <w:bCs/>
        </w:rPr>
        <w:tab/>
        <w:instrText>Code § 2503.  Gift Tax Annual Exclusion</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Indirect Gift to Crummey Insurance Trust by Paying Life Insur</w:t>
      </w:r>
      <w:r w:rsidR="00800BE7">
        <w:rPr>
          <w:b/>
          <w:bCs/>
        </w:rPr>
        <w:softHyphen/>
        <w:t xml:space="preserve">ance Premiums Qualifies for Annual Exclusion.  </w:t>
      </w:r>
      <w:r w:rsidR="00800BE7">
        <w:rPr>
          <w:b/>
          <w:bCs/>
          <w:i/>
          <w:iCs/>
        </w:rPr>
        <w:t>Estate of Turner v. Comm’r</w:t>
      </w:r>
      <w:r w:rsidR="00800BE7">
        <w:rPr>
          <w:b/>
          <w:bCs/>
        </w:rPr>
        <w:t>, T.C. Memo. 2011</w:t>
      </w:r>
      <w:r w:rsidR="00800BE7">
        <w:rPr>
          <w:b/>
          <w:bCs/>
        </w:rPr>
        <w:noBreakHyphen/>
        <w:t>209 (Aug.  30, 2011)</w:t>
      </w:r>
    </w:p>
    <w:p w:rsidR="00800BE7" w:rsidRDefault="00800BE7">
      <w:pPr>
        <w:keepNext/>
        <w:keepLines/>
        <w:widowControl/>
        <w:jc w:val="both"/>
      </w:pPr>
    </w:p>
    <w:p w:rsidR="00800BE7" w:rsidRDefault="00800BE7">
      <w:pPr>
        <w:keepLines/>
        <w:widowControl/>
        <w:ind w:left="2160"/>
        <w:jc w:val="both"/>
      </w:pPr>
      <w:r>
        <w:t>Clyde W.  Turner, Sr.  established an irrevocable life insurance trust to own life insurance policies for the benefit of his children and grandchildren.  Two of Clyde, Sr.’s children were named co-trustees.  The trust had 12 beneficiaries, consisting of Clyde, Sr.’s  then</w:t>
      </w:r>
      <w:r>
        <w:noBreakHyphen/>
        <w:t>living children and grandchildren.  In 1992 and 1997, the trust bought life insurance policies.  The trust provided that Clyde, Sr. and others could make contributions to the trust.  Clyde, Sr. paid the premiums on the policies directly by checks to the insurer.  The trust gave each  beneficiary a Crummey power to withdraw:</w:t>
      </w:r>
    </w:p>
    <w:p w:rsidR="00800BE7" w:rsidRDefault="00800BE7">
      <w:pPr>
        <w:widowControl/>
        <w:jc w:val="both"/>
      </w:pPr>
    </w:p>
    <w:p w:rsidR="00800BE7" w:rsidRDefault="00800BE7">
      <w:pPr>
        <w:widowControl/>
        <w:ind w:left="2880" w:right="720"/>
        <w:jc w:val="both"/>
      </w:pPr>
      <w:r>
        <w:t xml:space="preserve">the lesser of (1) $20,000 ($10,000 if the beneficiary was not married at the time of the withdrawal), minus the total amounts previously withdrawn by that beneficiary during the same calendar year, or (2) the amount of the transfer, divided by the number of beneficiaries. </w:t>
      </w:r>
    </w:p>
    <w:p w:rsidR="00800BE7" w:rsidRDefault="00800BE7">
      <w:pPr>
        <w:widowControl/>
        <w:jc w:val="both"/>
      </w:pPr>
    </w:p>
    <w:p w:rsidR="00800BE7" w:rsidRDefault="00800BE7">
      <w:pPr>
        <w:widowControl/>
        <w:ind w:left="2160"/>
        <w:jc w:val="both"/>
      </w:pPr>
      <w:r>
        <w:t>No beneficiary ever exercised the Crummey power.  When Clyde, Sr.  died, the IRS denied the annual exclusion for the direct payment of the insurance premiums.</w:t>
      </w:r>
    </w:p>
    <w:p w:rsidR="00800BE7" w:rsidRDefault="00800BE7">
      <w:pPr>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Tax Court (Judge Marvel) held for the estate.  The court explained that availability of the annual exclusion depends upon the existence of a present interest, which turns on the beneficiary’s legal ability to exercise their right to withdraw trust corpus, and the trustee's right legally to resist a beneficiary's demand for payment.  Clyde, Sr.  had made indirect gifts to the trust by paying life insurance premiums, and these gave the beneficiaries a right to withdraw a share of the trust assets equal to the value of the contribution.  That sufficed to create a present interest.  Furthermore, the court stated, the fact that “some or even all of the beneficiaries may not have known they had the right to demand withdrawals” did not prevent there being created a present interest.  </w:t>
      </w:r>
      <w:r>
        <w:rPr>
          <w:i/>
          <w:iCs/>
        </w:rPr>
        <w:t>Crummey v. Comm’r</w:t>
      </w:r>
      <w:r>
        <w:t>, 397 F.2d 82, at 86-87 (9</w:t>
      </w:r>
      <w:r>
        <w:rPr>
          <w:vertAlign w:val="superscript"/>
        </w:rPr>
        <w:t>th</w:t>
      </w:r>
      <w:r>
        <w:t xml:space="preserve"> Cir.  1968), </w:t>
      </w:r>
      <w:r>
        <w:rPr>
          <w:i/>
          <w:iCs/>
        </w:rPr>
        <w:t xml:space="preserve">aff’g in part and rev’g in part </w:t>
      </w:r>
      <w:r>
        <w:t xml:space="preserve">T.C. Memo.  1966-144; </w:t>
      </w:r>
      <w:r>
        <w:rPr>
          <w:i/>
          <w:iCs/>
        </w:rPr>
        <w:t>Estate of Cristofani v.  Comm’r</w:t>
      </w:r>
      <w:r>
        <w:t xml:space="preserve">, 97 T.C. 74, at 80 (1991). </w:t>
      </w:r>
    </w:p>
    <w:p w:rsidR="00800BE7" w:rsidRDefault="00800BE7">
      <w:pPr>
        <w:widowControl/>
        <w:ind w:left="2160" w:firstLine="720"/>
        <w:jc w:val="both"/>
      </w:pPr>
      <w:r>
        <w:rPr>
          <w:b/>
          <w:bCs/>
        </w:rPr>
        <w:t xml:space="preserve">Note.  </w:t>
      </w:r>
      <w:r>
        <w:t>See also discussion of family limited partnership issues, above.</w:t>
      </w:r>
    </w:p>
    <w:p w:rsidR="00800BE7" w:rsidRDefault="00800BE7">
      <w:pPr>
        <w:widowControl/>
        <w:jc w:val="both"/>
        <w:rPr>
          <w:b/>
          <w:bCs/>
        </w:rPr>
      </w:pPr>
    </w:p>
    <w:p w:rsidR="00800BE7" w:rsidRDefault="00800BE7">
      <w:pPr>
        <w:widowControl/>
        <w:jc w:val="both"/>
        <w:rPr>
          <w:b/>
          <w:bCs/>
        </w:rPr>
      </w:pPr>
    </w:p>
    <w:p w:rsidR="00800BE7" w:rsidRDefault="00BC7053">
      <w:pPr>
        <w:widowControl/>
        <w:tabs>
          <w:tab w:val="left" w:pos="-1440"/>
        </w:tabs>
        <w:ind w:left="2160" w:hanging="720"/>
        <w:jc w:val="both"/>
        <w:rPr>
          <w:b/>
          <w:bCs/>
        </w:rPr>
      </w:pPr>
      <w:r>
        <w:rPr>
          <w:b/>
          <w:bCs/>
        </w:rPr>
        <w:fldChar w:fldCharType="begin"/>
      </w:r>
      <w:r w:rsidR="00800BE7">
        <w:rPr>
          <w:b/>
          <w:bCs/>
        </w:rPr>
        <w:instrText>LISTNUM Outline \l 3</w:instrText>
      </w:r>
      <w:r>
        <w:rPr>
          <w:b/>
          <w:bCs/>
        </w:rPr>
        <w:fldChar w:fldCharType="end"/>
      </w:r>
      <w:r w:rsidR="00800BE7">
        <w:rPr>
          <w:b/>
          <w:bCs/>
        </w:rPr>
        <w:tab/>
        <w:t>Annual Exclusion for Most Gifts Not Adjusted for Inflation; Exclusion for Gifts to Non-Citizen Spouse Increased.  Rev. Proc. 2010-40 § 3.21,  2010-46 I.R.B. 663 (Nov. 15, 2010)</w:t>
      </w:r>
      <w:r>
        <w:rPr>
          <w:b/>
          <w:bCs/>
        </w:rPr>
        <w:fldChar w:fldCharType="begin"/>
      </w:r>
      <w:r w:rsidR="00800BE7">
        <w:rPr>
          <w:b/>
          <w:bCs/>
        </w:rPr>
        <w:instrText>tc \l3 "Field result goes here</w:instrText>
      </w:r>
      <w:r w:rsidR="00800BE7">
        <w:rPr>
          <w:b/>
          <w:bCs/>
        </w:rPr>
        <w:tab/>
        <w:instrText>Annual Exclusion for Most Gifts Not Adjusted for Inflation; Exclusion for Gifts to Non-Citizen Spouse Increased.  Rev. Proc. 2010-40 § 3.21,  2010-46 I.R.B. 663 (Nov. 15, 2010)</w:instrText>
      </w:r>
      <w:r>
        <w:rPr>
          <w:b/>
          <w:bCs/>
        </w:rPr>
        <w:fldChar w:fldCharType="end"/>
      </w:r>
    </w:p>
    <w:p w:rsidR="00800BE7" w:rsidRDefault="00800BE7">
      <w:pPr>
        <w:widowControl/>
        <w:jc w:val="both"/>
      </w:pPr>
    </w:p>
    <w:p w:rsidR="00800BE7" w:rsidRDefault="00800BE7">
      <w:pPr>
        <w:widowControl/>
        <w:ind w:left="2160"/>
        <w:jc w:val="both"/>
      </w:pPr>
      <w:r>
        <w:t>The gift tax annual exclusion remains $13,000 per donee for transfers made in 2011.  The annual exclusion for gifts to a non</w:t>
      </w:r>
      <w:r>
        <w:noBreakHyphen/>
        <w:t>U.S. citizen spouse is raised to $136,000 for transfers made in 2011.</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2512.  Valuation of Gifts</w:t>
      </w:r>
      <w:r>
        <w:fldChar w:fldCharType="begin"/>
      </w:r>
      <w:r w:rsidR="00800BE7">
        <w:instrText>tc \l2 "</w:instrText>
      </w:r>
      <w:r w:rsidR="00800BE7">
        <w:rPr>
          <w:b/>
          <w:bCs/>
        </w:rPr>
        <w:instrText>Field result goes here</w:instrText>
      </w:r>
      <w:r w:rsidR="00800BE7">
        <w:rPr>
          <w:b/>
          <w:bCs/>
        </w:rPr>
        <w:tab/>
        <w:instrText>Code § 2512.  Valuation of Gifts</w:instrText>
      </w:r>
      <w:r>
        <w:fldChar w:fldCharType="end"/>
      </w:r>
    </w:p>
    <w:p w:rsidR="00800BE7" w:rsidRDefault="00800BE7">
      <w:pPr>
        <w:keepNext/>
        <w:keepLines/>
        <w:widowControl/>
        <w:jc w:val="both"/>
      </w:pPr>
    </w:p>
    <w:p w:rsidR="00800BE7" w:rsidRDefault="00800BE7">
      <w:pPr>
        <w:keepNext/>
        <w:keepLines/>
        <w:widowControl/>
        <w:ind w:left="1440"/>
        <w:jc w:val="both"/>
      </w:pPr>
      <w:r>
        <w:rPr>
          <w:b/>
          <w:bCs/>
        </w:rPr>
        <w:t xml:space="preserve">Defined Valuation Formula Clauses Sustained by Tax Court Again.  </w:t>
      </w:r>
      <w:r>
        <w:rPr>
          <w:b/>
          <w:bCs/>
          <w:i/>
          <w:iCs/>
        </w:rPr>
        <w:t>Estate of Petter v. Comm’r</w:t>
      </w:r>
      <w:r>
        <w:rPr>
          <w:b/>
          <w:bCs/>
        </w:rPr>
        <w:t>, ___ F.3d ___, 2011 WL 3438401, 108 A.F.T.R.2d 2011</w:t>
      </w:r>
      <w:r>
        <w:rPr>
          <w:b/>
          <w:bCs/>
        </w:rPr>
        <w:noBreakHyphen/>
        <w:t>5593 (9</w:t>
      </w:r>
      <w:r>
        <w:rPr>
          <w:b/>
          <w:bCs/>
          <w:vertAlign w:val="superscript"/>
        </w:rPr>
        <w:t>th</w:t>
      </w:r>
      <w:r>
        <w:rPr>
          <w:b/>
          <w:bCs/>
        </w:rPr>
        <w:t xml:space="preserve"> Cir. Aug. 4, 2011),</w:t>
      </w:r>
      <w:r>
        <w:rPr>
          <w:b/>
          <w:bCs/>
          <w:i/>
          <w:iCs/>
        </w:rPr>
        <w:t xml:space="preserve"> aff’g</w:t>
      </w:r>
      <w:r>
        <w:rPr>
          <w:b/>
          <w:bCs/>
        </w:rPr>
        <w:t xml:space="preserve"> T.C. Memo. 2009-280; </w:t>
      </w:r>
      <w:r>
        <w:rPr>
          <w:b/>
          <w:bCs/>
          <w:i/>
          <w:iCs/>
        </w:rPr>
        <w:t>Hendrix v. Comm’r</w:t>
      </w:r>
      <w:r>
        <w:rPr>
          <w:b/>
          <w:bCs/>
        </w:rPr>
        <w:t>, T.C. Memo. 2011-133 (June 15, 2011)</w:t>
      </w:r>
      <w:r w:rsidR="00BC7053">
        <w:rPr>
          <w:b/>
          <w:bCs/>
        </w:rPr>
        <w:fldChar w:fldCharType="begin"/>
      </w:r>
      <w:r>
        <w:rPr>
          <w:b/>
          <w:bCs/>
        </w:rPr>
        <w:instrText xml:space="preserve">tc \l3 "Defined Valuation Formula Clauses Sustained by Tax Court Again.  </w:instrText>
      </w:r>
      <w:r>
        <w:rPr>
          <w:b/>
          <w:bCs/>
          <w:i/>
          <w:iCs/>
        </w:rPr>
        <w:instrText>Estate of Petter v. Comm’r</w:instrText>
      </w:r>
      <w:r>
        <w:rPr>
          <w:b/>
          <w:bCs/>
        </w:rPr>
        <w:instrText>, ___ F.3d ___, 2011 WL 3438401, 108 A.F.T.R.2d 2011</w:instrText>
      </w:r>
      <w:r>
        <w:rPr>
          <w:b/>
          <w:bCs/>
        </w:rPr>
        <w:noBreakHyphen/>
        <w:instrText>5593 (9</w:instrText>
      </w:r>
      <w:r>
        <w:rPr>
          <w:b/>
          <w:bCs/>
          <w:vertAlign w:val="superscript"/>
        </w:rPr>
        <w:instrText>th</w:instrText>
      </w:r>
      <w:r>
        <w:rPr>
          <w:b/>
          <w:bCs/>
        </w:rPr>
        <w:instrText xml:space="preserve"> Cir. Aug. 4, 2011),</w:instrText>
      </w:r>
      <w:r>
        <w:rPr>
          <w:b/>
          <w:bCs/>
          <w:i/>
          <w:iCs/>
        </w:rPr>
        <w:instrText xml:space="preserve"> aff’g</w:instrText>
      </w:r>
      <w:r>
        <w:rPr>
          <w:b/>
          <w:bCs/>
        </w:rPr>
        <w:instrText xml:space="preserve"> T.C. Memo. 2009-280; </w:instrText>
      </w:r>
      <w:r>
        <w:rPr>
          <w:b/>
          <w:bCs/>
          <w:i/>
          <w:iCs/>
        </w:rPr>
        <w:instrText>Hendrix v. Comm’r</w:instrText>
      </w:r>
      <w:r>
        <w:rPr>
          <w:b/>
          <w:bCs/>
        </w:rPr>
        <w:instrText>, T.C. Memo. 2011-133 (June 15, 2011)</w:instrText>
      </w:r>
      <w:r w:rsidR="00BC7053">
        <w:rPr>
          <w:b/>
          <w:bCs/>
        </w:rPr>
        <w:fldChar w:fldCharType="end"/>
      </w:r>
    </w:p>
    <w:p w:rsidR="00800BE7" w:rsidRDefault="00800BE7">
      <w:pPr>
        <w:keepNext/>
        <w:keepLines/>
        <w:widowControl/>
        <w:jc w:val="both"/>
      </w:pPr>
    </w:p>
    <w:p w:rsidR="00800BE7" w:rsidRDefault="00800BE7">
      <w:pPr>
        <w:keepLines/>
        <w:widowControl/>
        <w:tabs>
          <w:tab w:val="left" w:pos="-1440"/>
        </w:tabs>
        <w:ind w:left="2160" w:hanging="720"/>
        <w:jc w:val="both"/>
      </w:pPr>
      <w:r>
        <w:rPr>
          <w:b/>
          <w:bCs/>
        </w:rPr>
        <w:t>·</w:t>
      </w:r>
      <w:r>
        <w:rPr>
          <w:b/>
          <w:bCs/>
        </w:rPr>
        <w:tab/>
      </w:r>
      <w:r>
        <w:rPr>
          <w:b/>
          <w:bCs/>
          <w:i/>
          <w:iCs/>
        </w:rPr>
        <w:t>Petter</w:t>
      </w:r>
      <w:r>
        <w:rPr>
          <w:b/>
          <w:bCs/>
        </w:rPr>
        <w:t>.</w:t>
      </w:r>
      <w:r>
        <w:t xml:space="preserve">  Anne Petter was the niece of one of the first investors in what became United Parcel Service (UPS).  When her uncle died in 1982, he left Anne his stock.  Anne worked with attorneys to create arrange</w:t>
      </w:r>
      <w:r>
        <w:softHyphen/>
        <w:t>ments that would both take care of her heirs and also fund public charities.  Anne did a part-gift/part sale of her interests in an LLC she created to some intentional grantor trusts.  The document of sale and gift provided that the transferred units would be divided between the charities and the trusts as follows:</w:t>
      </w:r>
    </w:p>
    <w:p w:rsidR="00800BE7" w:rsidRDefault="00800BE7">
      <w:pPr>
        <w:widowControl/>
        <w:jc w:val="both"/>
      </w:pPr>
    </w:p>
    <w:p w:rsidR="00800BE7" w:rsidRDefault="00800BE7">
      <w:pPr>
        <w:widowControl/>
        <w:ind w:left="2880" w:right="720"/>
        <w:jc w:val="both"/>
      </w:pPr>
      <w:r>
        <w:t>Transferor * * *</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right="720" w:firstLine="720"/>
        <w:jc w:val="both"/>
      </w:pPr>
      <w:r>
        <w:lastRenderedPageBreak/>
        <w:t>1.1.1 assigns to the Trust as a gift the number of Units described in Recital C above that equals one-half the minimum dollar amount that can pass free of federal gift tax by reason of Transferor's applicable exclusion amount allowed by Code Section 2010(c).  Transferor currently understands her unused applicable exclusion amount to be $907,820, so that the amount of this gift should be $453,910; and 1.1.2 assigns to The Seattle Foundation as a gift to the A.Y. Petter Family Advised Fund of The Seattle Foundation the difference between the total number of Units described in Recital C above and the number of Units assigned to the Trust in Sec</w:t>
      </w:r>
      <w:r>
        <w:softHyphen/>
        <w:t>tion 1.1.1.</w:t>
      </w:r>
    </w:p>
    <w:p w:rsidR="00800BE7" w:rsidRDefault="00800BE7">
      <w:pPr>
        <w:widowControl/>
        <w:ind w:left="2880" w:right="720" w:firstLine="720"/>
        <w:jc w:val="both"/>
      </w:pPr>
      <w:r>
        <w:t>1.2: The Trust agrees that, if the value of the Units it initially receives is finally determined for federal gift tax purposes to exceed the amount described in Section 1.1.1, Trustee will, on behalf of the Trust and as a condition of the gift to it, transfer the excess Units to The Seattle Foundation as soon as practicable.</w:t>
      </w:r>
    </w:p>
    <w:p w:rsidR="00800BE7" w:rsidRDefault="00800BE7">
      <w:pPr>
        <w:widowControl/>
        <w:jc w:val="both"/>
      </w:pPr>
    </w:p>
    <w:p w:rsidR="00800BE7" w:rsidRDefault="00800BE7">
      <w:pPr>
        <w:widowControl/>
        <w:ind w:left="2160"/>
        <w:jc w:val="both"/>
      </w:pPr>
      <w:r>
        <w:t>Both trusts repaid their promissory notes to Anne.  The charities were effectively represented by independent counsel.  The transfers were appraised by a qualified appraiser and were fully disclosed with all of the documentation on Anne's federal gift tax return.</w:t>
      </w:r>
    </w:p>
    <w:p w:rsidR="00800BE7" w:rsidRDefault="00800BE7">
      <w:pPr>
        <w:widowControl/>
        <w:ind w:left="2160" w:firstLine="720"/>
        <w:jc w:val="both"/>
      </w:pPr>
      <w:r>
        <w:t xml:space="preserve">On audit, the IRS raised the gift tax value of the LLC units. It also claimed that the defined value gift clause was unenforceable and </w:t>
      </w:r>
      <w:r>
        <w:lastRenderedPageBreak/>
        <w:t>violated public policy, and that no additional income tax deduction would be allowed for the additional units of LLC interest allocated to the charities on account of the revaluation.</w:t>
      </w:r>
    </w:p>
    <w:p w:rsidR="00800BE7" w:rsidRDefault="00800BE7">
      <w:pPr>
        <w:widowControl/>
        <w:ind w:left="2160" w:firstLine="720"/>
        <w:jc w:val="both"/>
      </w:pPr>
      <w:r>
        <w:t xml:space="preserve">In the Tax Court (Judge Holmes) held for the taxpayer.  The court reviewed the history of defined value gifts and sales and similar transactions, from </w:t>
      </w:r>
      <w:r>
        <w:rPr>
          <w:i/>
          <w:iCs/>
        </w:rPr>
        <w:t>Comm’r v. Proctor</w:t>
      </w:r>
      <w:r>
        <w:t xml:space="preserve">, 142 F.2d 824 (4th Cir. 1944), </w:t>
      </w:r>
      <w:r>
        <w:rPr>
          <w:i/>
          <w:iCs/>
        </w:rPr>
        <w:t xml:space="preserve">cert. denied </w:t>
      </w:r>
      <w:r>
        <w:t xml:space="preserve">323 U.S. 756 (1944), through </w:t>
      </w:r>
      <w:r>
        <w:rPr>
          <w:i/>
          <w:iCs/>
        </w:rPr>
        <w:t>Christiansen v. Comm’r</w:t>
      </w:r>
      <w:r>
        <w:t>, 586 F.3d 1061 (8</w:t>
      </w:r>
      <w:r>
        <w:rPr>
          <w:vertAlign w:val="superscript"/>
        </w:rPr>
        <w:t>th</w:t>
      </w:r>
      <w:r>
        <w:t xml:space="preserve"> Cir. 2009).  The court stated succinctly that “savings clauses are void, but formula clauses are fine.”  The court analyzed Anne’s transaction documents and concluded that what she had done was to make “gifts of an ascertainable dollar value of stock; she did not give a specific number of shares or a specific percentage interest in the [LLC].”  The court rejected the IRS public policy arguments, noting that: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right="720"/>
        <w:jc w:val="both"/>
      </w:pPr>
      <w:r>
        <w:lastRenderedPageBreak/>
        <w:t>the facts in this case show charities sticking up for their interests, and not just passively helping a putative donor reduce her tax bill.  The foundations here conducted arm's-length negotiations, retained their own counsel, and won changes to the transfer documents to protect their interests.  Perhaps the most important of these was their successful insistence on becoming substituted members in the PFLLC with the same voting rights as all the other members.  By ensuring that they became substituted members, rather than mere assignees, the charities made sure that the PFLLC managers owed them fiduciary duties.</w:t>
      </w:r>
    </w:p>
    <w:p w:rsidR="00800BE7" w:rsidRDefault="00800BE7">
      <w:pPr>
        <w:widowControl/>
        <w:jc w:val="both"/>
      </w:pPr>
    </w:p>
    <w:p w:rsidR="00800BE7" w:rsidRDefault="00800BE7">
      <w:pPr>
        <w:widowControl/>
        <w:ind w:left="2160"/>
        <w:jc w:val="both"/>
      </w:pPr>
      <w:r>
        <w:t>Judge Holmes also noted that there are other situations in the Code and regulations where the law expressly approves of formula clauses, such as charitable remainder trusts and the marital deduction.  The court also held that the charitable deduction for the additional allocation of shares to charities was properly taken on the date of the original transfer, even though there were subsequent revaluations and reallocations.</w:t>
      </w:r>
    </w:p>
    <w:p w:rsidR="00800BE7" w:rsidRDefault="00800BE7">
      <w:pPr>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On appeal, the Ninth Circuit (Judge Bybee) affirmed.  The IRS  argued that the additional amounts transferred to the charities because of the revaluation were not deductible for gift tax purposes, because they were “dependent upon the performance of some act or of the happening of a precedent event in order that [the transfer] might become effective.” Treas. Reg. § 25.2522(c)</w:t>
      </w:r>
      <w:r>
        <w:sym w:font="Symbol" w:char="F05F"/>
      </w:r>
      <w:r>
        <w:t xml:space="preserve">3(b)(1).  The IRS argued that additional gifts were dependent on the revaluation of the LLC units by the IRS.  The Ninth Circuit disagreed, stating that a “condition precedent” is one that must occur before a transfer to a </w:t>
      </w:r>
      <w:r>
        <w:lastRenderedPageBreak/>
        <w:t>charity becomes effective.  Treas. Reg. § 25.2522(c)</w:t>
      </w:r>
      <w:r>
        <w:sym w:font="Symbol" w:char="F05F"/>
      </w:r>
      <w:r>
        <w:t>3(b)(1).  The court stated that a defined value formula clauses does not contain a condition precedent, because additional transfers of LLC units to the foundations were not dependent upon the occurrence of an IRS audit.  The additional transfers became effective immediately upon the execution of the transfer documents and delivery of the units of LLC interest.  The only open question was the value of the units trans</w:t>
      </w:r>
      <w:r>
        <w:softHyphen/>
        <w:t>ferred, not the transfers themselves.  The court stated that the reallocation clauses merely enforced the charities’ rights to receive a pre</w:t>
      </w:r>
      <w:r>
        <w:noBreakHyphen/>
        <w:t>defined number of units: the difference between a specified number of units and the number of units worth a specified dollar amount.  The court noted that either of the trusts or either of the charities could have challenged the valuation of the LLC units in the donor’s appraisal, although it was unlikely that they would have done so.  The court stated that the regulations deny the gift tax charitable deduction only where a transfer is itself dependent upon an event.  Treas. Reg. § 25.2522(c)</w:t>
      </w:r>
      <w:r>
        <w:sym w:font="Symbol" w:char="F05F"/>
      </w:r>
      <w:r>
        <w:t>3(b)(1).  The IRS also argued that the documents in question did not actually give the foundations the right to additional units of LLC interest, and that Section 2001(f)(2) renders the value of the LLC units reported on the decedent’s gift tax return as the binding value for gift tax purposes.  The court disagreed, noting that (1) the gift tax return value must be based on gift tax valuation purposes, which requires that the value of an asset “as finally determined for federal gift tax purposes” be its fair market value.  Citing Treas. Reg. § 25.2512</w:t>
      </w:r>
      <w:r>
        <w:sym w:font="Symbol" w:char="F05F"/>
      </w:r>
      <w:r>
        <w:t xml:space="preserve">1; (2) Section 2001(f)(2) applies only for determining the valuation of gifts as to which the statute of limitations has expired, and is irrelevant where, as here, the statute of limitations is still open; and (3) Section 2001(f)(2) states that the value is finally determined if it is determined by a court, which would mean that the foundations could redetermine the value by a state court suit to contest the accuracy of the donor’s appraisal. </w:t>
      </w:r>
    </w:p>
    <w:p w:rsidR="00800BE7" w:rsidRDefault="00800BE7">
      <w:pPr>
        <w:widowControl/>
        <w:ind w:left="2160" w:firstLine="720"/>
        <w:jc w:val="both"/>
      </w:pPr>
      <w:r>
        <w:t xml:space="preserve">The court also noted that its decision was consistent with that of the Eighth Circuit in </w:t>
      </w:r>
      <w:r>
        <w:rPr>
          <w:i/>
          <w:iCs/>
        </w:rPr>
        <w:t>Christiansen</w:t>
      </w:r>
      <w:r>
        <w:t>, where the IRS made a similar argument under the analogous estate tax charitable deduction rules.  See Treas. Reg. § 20.2055</w:t>
      </w:r>
      <w:r>
        <w:sym w:font="Symbol" w:char="F05F"/>
      </w:r>
      <w:r>
        <w:t>2(b)(1).  The Eighth Circuit had held that a charity’s right to receive 25 percent of the transferred assets above $6.35 million was certain on the date of the transfer, and that the IRS had failed “to distinguish between events that occur post</w:t>
      </w:r>
      <w:r>
        <w:noBreakHyphen/>
        <w:t>death that change the actual value of an asset or estate and events that occur post</w:t>
      </w:r>
      <w:r>
        <w:noBreakHyphen/>
        <w:t xml:space="preserve">death that are merely part of the legal or accounting process of determining value at the time of death.”  </w:t>
      </w:r>
      <w:r>
        <w:rPr>
          <w:i/>
          <w:iCs/>
        </w:rPr>
        <w:t>Id.</w:t>
      </w:r>
      <w:r>
        <w:t xml:space="preserve">  The court rejected the IRS attempt to distinguish </w:t>
      </w:r>
      <w:r>
        <w:rPr>
          <w:i/>
          <w:iCs/>
        </w:rPr>
        <w:t>Christiansen,</w:t>
      </w:r>
      <w:r>
        <w:t xml:space="preserve"> finding that: (1) although </w:t>
      </w:r>
      <w:r>
        <w:rPr>
          <w:i/>
          <w:iCs/>
        </w:rPr>
        <w:t xml:space="preserve">Christiansen </w:t>
      </w:r>
      <w:r>
        <w:t xml:space="preserve">involved a qualified disclaimer and Section 2518(a) expressly provides that a qualified disclaimer relates back to the time </w:t>
      </w:r>
      <w:r>
        <w:lastRenderedPageBreak/>
        <w:t>of death, the Eighth Circuit’s analysis had focused on the word “transfer” in the regulations, rather than the relation back features of Section 2518(a); (2) although the Eighth Circuit relied on the express language of Treas. Reg. § 20.2055</w:t>
      </w:r>
      <w:r>
        <w:sym w:font="Symbol" w:char="F05F"/>
      </w:r>
      <w:r>
        <w:t xml:space="preserve"> 2(e)(2)(vi)(a), an estate tax regulation that has no parallel in the gift tax regulations, the actual outcome of the case was based on Treas. Reg. § 20.2055</w:t>
      </w:r>
      <w:r>
        <w:sym w:font="Symbol" w:char="F05F"/>
      </w:r>
      <w:r>
        <w:t xml:space="preserve">2(b)(1), which is virtually identical to that of the gift tax regulations under consideration in Petter; and (3) </w:t>
      </w:r>
      <w:r>
        <w:rPr>
          <w:i/>
          <w:iCs/>
        </w:rPr>
        <w:t>Christiansen</w:t>
      </w:r>
      <w:r>
        <w:t xml:space="preserve"> was not wrongly decided.</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court also rejected the IRS argument that a holding in favor of the taxpayer conflicts with a longstanding Supreme Court precedent that a charitable deduction is allowable only with respect to amounts that charities are assured of receiving.  The court stated that, as </w:t>
      </w:r>
      <w:r>
        <w:rPr>
          <w:i/>
          <w:iCs/>
        </w:rPr>
        <w:t>Christiansen</w:t>
      </w:r>
      <w:r>
        <w:t xml:space="preserve"> had also recognized, the Supreme Court cases on which the IRS relied do not state that deductions are to be disallowed if valuations involve lengthy or disputed appraisal efforts or if the IRS’s actions challenging the value result in an adjustment.  Citing </w:t>
      </w:r>
      <w:r>
        <w:rPr>
          <w:i/>
          <w:iCs/>
        </w:rPr>
        <w:t>Humes v. United States,</w:t>
      </w:r>
      <w:r>
        <w:t xml:space="preserve"> 276 U.S. 487 (1928) (disallowing a deduction for a gift a charity would have received if the decedent's niece died childless before the age of 40); </w:t>
      </w:r>
      <w:r>
        <w:rPr>
          <w:i/>
          <w:iCs/>
        </w:rPr>
        <w:t>Comm'r v. Estate of Sternberger,</w:t>
      </w:r>
      <w:r>
        <w:t xml:space="preserve"> 348 U.S. 187 (1955) (disallowing a deduction where a bequest to charity was dependent upon the testator's daughter dying without descen</w:t>
      </w:r>
      <w:r>
        <w:softHyphen/>
        <w:t>dants). In this case, the taxpayer's gifts were not contingent upon any future event.</w:t>
      </w:r>
    </w:p>
    <w:p w:rsidR="00800BE7" w:rsidRDefault="00800BE7">
      <w:pPr>
        <w:widowControl/>
        <w:ind w:left="2160" w:firstLine="720"/>
        <w:jc w:val="both"/>
      </w:pPr>
      <w:r>
        <w:t>Finally, the court rejected the IRS argument that public policy supported its interpretation of Treas. Reg. § 25.2522(c)</w:t>
      </w:r>
      <w:r>
        <w:sym w:font="Symbol" w:char="F05F"/>
      </w:r>
      <w:r>
        <w:t xml:space="preserve">3(b)(1).  The court explained that the regulation's text clearly did not preclude the charitable deduction at issue, and concluded that public policy cannot do so.  In a footnote (footnote 7), the court noted that the IRS had made its public policy argument strongly before the Tax Court, relying on </w:t>
      </w:r>
      <w:r>
        <w:rPr>
          <w:i/>
          <w:iCs/>
        </w:rPr>
        <w:t>Proctor</w:t>
      </w:r>
      <w:r>
        <w:t xml:space="preserve">, but that “the IRS has now abandoned it because the IRS explicitly disclaims pursuing this argument on appeal.”  Accordingly, the court did not address whether the dollar formula clauses and reallocation clauses are void as against public policy. </w:t>
      </w:r>
    </w:p>
    <w:p w:rsidR="00800BE7" w:rsidRDefault="00800BE7">
      <w:pPr>
        <w:widowControl/>
        <w:ind w:left="2160" w:firstLine="720"/>
        <w:jc w:val="both"/>
      </w:pPr>
      <w:r>
        <w:t>The court concluded:</w:t>
      </w:r>
    </w:p>
    <w:p w:rsidR="00800BE7" w:rsidRDefault="00800BE7">
      <w:pPr>
        <w:widowControl/>
        <w:jc w:val="both"/>
      </w:pPr>
    </w:p>
    <w:p w:rsidR="00800BE7" w:rsidRDefault="00800BE7">
      <w:pPr>
        <w:widowControl/>
        <w:ind w:left="2880" w:right="720"/>
        <w:jc w:val="both"/>
      </w:pPr>
      <w:r>
        <w:t>Contrary to the IRS's argument, the additional transfer of LLC units to the foundations was not subject to a condition precedent within the meaning of Treasury Regulation § 25.2522(c)</w:t>
      </w:r>
      <w:r>
        <w:sym w:font="Symbol" w:char="F05F"/>
      </w:r>
      <w:r>
        <w:t xml:space="preserve">3(b)(1). Under the terms of the transfer documents, the foundations were always entitled to receive a predefined number of units, which the documents essentially expressed as a mathematical formula. This formula had one unknown: the value of a LLC unit at the time the transfer documents were </w:t>
      </w:r>
      <w:r>
        <w:lastRenderedPageBreak/>
        <w:t>executed. But though unknown, that value was a constant, which means that both before and after the IRS audit, the foundations were entitled to receive the same number of units. Absent the audit, the foundations may never have received all the units they were entitled to, but that does not mean that part of the Taxpayer's transfer was dependent upon an IRS audit. Rather, the audit merely ensured the foundations would receive those units they were always entitled to receive. Accord</w:t>
      </w:r>
      <w:r>
        <w:softHyphen/>
        <w:t>ingly, we hold that Treasury Regulation § 25.2522(c)</w:t>
      </w:r>
      <w:r>
        <w:sym w:font="Symbol" w:char="F05F"/>
      </w:r>
      <w:r>
        <w:t xml:space="preserve">3(b)(1) does not bar a charitable deduction equal to the value of the additional units the foundations will receive. </w:t>
      </w:r>
      <w:r>
        <w:sym w:font="Symbol" w:char="F05F"/>
      </w:r>
      <w:r>
        <w:t xml:space="preserve">[W]e expressly invite [ ] the Treasury Department to </w:t>
      </w:r>
      <w:r>
        <w:sym w:font="Symbol" w:char="F05F"/>
      </w:r>
      <w:r>
        <w:t>amend its regulations' if troubled by the consequences of our resolution of th[is] case.</w:t>
      </w:r>
      <w:r>
        <w:sym w:font="Symbol" w:char="F05F"/>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jc w:val="both"/>
        <w:sectPr w:rsidR="00800BE7">
          <w:type w:val="continuous"/>
          <w:pgSz w:w="12240" w:h="15840"/>
          <w:pgMar w:top="1440" w:right="1440" w:bottom="1440" w:left="1440" w:header="1440" w:footer="1440" w:gutter="0"/>
          <w:cols w:space="720"/>
          <w:noEndnote/>
        </w:sectPr>
      </w:pPr>
    </w:p>
    <w:p w:rsidR="00800BE7" w:rsidRDefault="00800BE7">
      <w:pPr>
        <w:widowControl/>
        <w:tabs>
          <w:tab w:val="left" w:pos="-1440"/>
        </w:tabs>
        <w:ind w:left="2160" w:hanging="720"/>
        <w:jc w:val="both"/>
      </w:pPr>
      <w:r>
        <w:rPr>
          <w:b/>
          <w:bCs/>
        </w:rPr>
        <w:lastRenderedPageBreak/>
        <w:t>·</w:t>
      </w:r>
      <w:r>
        <w:rPr>
          <w:b/>
          <w:bCs/>
        </w:rPr>
        <w:tab/>
      </w:r>
      <w:r>
        <w:rPr>
          <w:b/>
          <w:bCs/>
          <w:i/>
          <w:iCs/>
        </w:rPr>
        <w:t>Hendrix</w:t>
      </w:r>
      <w:r>
        <w:rPr>
          <w:b/>
          <w:bCs/>
        </w:rPr>
        <w:t>.</w:t>
      </w:r>
      <w:r>
        <w:t xml:space="preserve">  The taxpayers, John and Karolyn Hendrix, wanted to make gifts to trusts for their daughters and more remote descendants of nonvoting shares of the stock of his closely-held S corporation, John H. Hendrix Corp.  The taxpayers also wanted to make certain charitable gifts and on advice of estate planning counsel, they established a donor-advised fund at the Greater Houston Community Foundation, a large public charity.  The taxpayers and their attorney negotiated with the Foundation’s counsel for three months to deter</w:t>
      </w:r>
      <w:r>
        <w:softHyphen/>
        <w:t>mine the precise terms of the fund and the taxpayer’s gifts to the fund.  The taxpayers then transferred $20,000 to establish the donor-advised fund.  The taxpayers’ counsel sent to the Foundation a draft of an assignment agreement and a dispute resolution and buy</w:t>
      </w:r>
      <w:r>
        <w:noBreakHyphen/>
        <w:t>sell agree</w:t>
      </w:r>
      <w:r>
        <w:softHyphen/>
        <w:t xml:space="preserve">ment executed by the corporation and its shareholders.  The draft indicated that the taxpayers would give shares of the nonvoting stock to the Foundation and would transfer (part as a gift and part as a sale) other shares of the same stock to trusts for the taxpayers’ daughters.  The draft indicated that a formula clause would set by a dollar amount the portion of the stock that would be transferred to the trusts, and that the remaining stock would be added to the donor-advised fund within the Foundation.  After two months, the Foundation’s attorney agreed to the terms.  The taxpayers retained an independent professional appraiser to value the nonvoting stock, which it did, based in part on the values it had used the previous year in a corporate redemption and the company’s updated accounts and tax records.  The taxpayers then transferred 287,619 shares (each) of the nonvoting stock pursuant to a formula under which: (1) a portion of the assigned shares having a fair market value as of the effective </w:t>
      </w:r>
      <w:r>
        <w:lastRenderedPageBreak/>
        <w:t>date equal to $10,519,136 was assigned to trustees to be held in equal shares for the benefit of the daughters, and (2) any remaining portion of the assigned shares was assigned to the Foundation for the benefit of the donor</w:t>
      </w:r>
      <w:r>
        <w:noBreakHyphen/>
        <w:t>advised fund.  The assignment agreements defined fair market value as the price at which those shares would change hands as of the effective date between a hypothetical willing buyer and a hypothet</w:t>
      </w:r>
      <w:r>
        <w:softHyphen/>
        <w:t>ical willing seller, neither under any compulsion to buy or to sell and both having reasonable knowledge of relevant facts.  The assignment agreements required that the trusts pay proportionally any gift taxes imposed as a result of the transfer.  The assignment agreements required that the trustees sign promissory notes obligating the trustees to pay $9,090,000 to each petitioner.  On the same day, a second set of assignment agreements was executed containing the same terms as the first set of assignment agreements, with each taxpayer transferring 115,622 nonvoting shares to trusts for the daughters and to the Foundation, the fair market value of the trust’s portion of the stock at $4,213,710, and directing the trustees to deliver to each taxpayer a note in the amount of $3,641,233.  Under both sets of assignment agreements, the taxpayers had no involvement in allocating the shares among the transferees – that was left to the transferees.  The assignment agreements stated that the dispute resolution and buy</w:t>
      </w:r>
      <w:r>
        <w:noBreakHyphen/>
        <w:t>sell agreement governed any dispute among the parties and any transfer of the nonvoting stock.  The dispute resolution and buy</w:t>
      </w:r>
      <w:r>
        <w:noBreakHyphen/>
        <w:t>sell agreement required that any dispute related to the fair market value between or among the corporation, the shareholders, assignees, or any party be resolved by arbitration, if it could not be resolved by agreement.  On the same date as the transfers of the stock, the trustees delivered the demand promissory notes to the taxpayers, and the taxpayers executed agreements stating that the trusts and the Foundation as tenants-in-common would collectively own all of the assigned shares.  The notes were secured by the trustees’ shares of the nonvoting stock.  The taxpayers filed gift tax returns claiming a $50,000 charitable contribution and a $1,414,581 taxable gift.  The trusts were represented by the taxpayers’ estate planning attorney, in negotiating the proposed confirmation agree</w:t>
      </w:r>
      <w:r>
        <w:softHyphen/>
        <w:t xml:space="preserve">ments after the transfers of the stock.  The attorney advised the trusts to seek another appraisal of the stock, rather than relying on the appraisal that the taxpayers had used.  The trustees retained the same appraiser as had been used by the taxpayers, and they valued the stock at $36.66 per share on the date of the gifts and sales.  The attorney sent a copy of the appraisal to the Foundation and its counsel.  The Foundation’s counsel advised that they obtain an independent appraisal, pursuant to their internal procedures for gifts of hard-to-value assets.  They did so, and their appraiser concluded that the appraisal obtained by the trustees was reasonable </w:t>
      </w:r>
      <w:r>
        <w:lastRenderedPageBreak/>
        <w:t>and fair.  The confirmation agreement was then entered into by the Foundation and the trustees based on a fair market value of $36.66</w:t>
      </w:r>
      <w:r>
        <w:noBreakHyphen/>
        <w:t>per</w:t>
      </w:r>
      <w:r>
        <w:softHyphen/>
        <w:t xml:space="preserve"> share.</w:t>
      </w:r>
    </w:p>
    <w:p w:rsidR="00800BE7" w:rsidRDefault="00800BE7">
      <w:pPr>
        <w:widowControl/>
        <w:ind w:left="2160" w:firstLine="720"/>
        <w:jc w:val="both"/>
      </w:pPr>
      <w:r>
        <w:t>The IRS agreed to a stipulation, for purposes of trial, that if the defined value formula clauses contained in the Assignment Agree</w:t>
      </w:r>
      <w:r>
        <w:softHyphen/>
        <w:t>ments did not control the valuation of the shares of nonvoting common stock transferred by the taxpayers, then the fair market value of the shares should be based on a per share value of $48.60 times the number of shares agreed to by each transferee in the Confirmation Agreements.</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sectPr w:rsidR="00800BE7">
          <w:type w:val="continuous"/>
          <w:pgSz w:w="12240" w:h="15840"/>
          <w:pgMar w:top="1440" w:right="1440" w:bottom="1440" w:left="1440" w:header="1440" w:footer="1440" w:gutter="0"/>
          <w:cols w:space="720"/>
          <w:noEndnote/>
        </w:sectPr>
      </w:pPr>
    </w:p>
    <w:p w:rsidR="00800BE7" w:rsidRDefault="00800BE7">
      <w:pPr>
        <w:widowControl/>
        <w:ind w:left="2160" w:firstLine="720"/>
        <w:jc w:val="both"/>
      </w:pPr>
      <w:r>
        <w:lastRenderedPageBreak/>
        <w:t>The Tax Court (Judge Paris) upheld the use of the defined value formula clauses to fix the transferred amount of the hard</w:t>
      </w:r>
      <w:r>
        <w:noBreakHyphen/>
        <w:t>to</w:t>
      </w:r>
      <w:r>
        <w:noBreakHyphen/>
        <w:t xml:space="preserve"> value stock, because it found that the parties conducted themselves at arm’s length.  The government argued that the defined valuation clauses were invalid as contrary to public policy.  The Tax Court noted that this case would be appealable to the Court of Appeals for the Fifth Circuit, and that it would, therefore, be guided by that court’s holding in </w:t>
      </w:r>
      <w:r>
        <w:rPr>
          <w:i/>
          <w:iCs/>
        </w:rPr>
        <w:t>McCord v. Comm’r</w:t>
      </w:r>
      <w:r>
        <w:t>, 461 F.3d 614 (5th Cir. 2006), r</w:t>
      </w:r>
      <w:r>
        <w:rPr>
          <w:i/>
          <w:iCs/>
        </w:rPr>
        <w:t>ev’g</w:t>
      </w:r>
      <w:r>
        <w:t xml:space="preserve"> 120 T.C. 358 (2003), which had sustained the use of defined value clauses generally.  That decision, however, did not preclude the court’s need to consider whether the formula clauses in this case were the result of an arm’s</w:t>
      </w:r>
      <w:r>
        <w:noBreakHyphen/>
        <w:t xml:space="preserve">length transaction, and whether they were contrary to public policy.  The court held that the transaction in this case was an arm’s length transaction.  The court agreed that a court may disregard the form of a transaction in favor of its substance, if there is collusion, an understanding, a side deal, or another indicium that the transaction was not at arm’s length.  This requires, however, more than “mere suspicion and speculation arising from the fact that a taxpayer engaged in estate planning.”  </w:t>
      </w:r>
      <w:r>
        <w:rPr>
          <w:i/>
          <w:iCs/>
        </w:rPr>
        <w:t>Strangi v. Comm’r</w:t>
      </w:r>
      <w:r>
        <w:t xml:space="preserve">, 293 F.3d 279, 282 (5th Cir. 2002), </w:t>
      </w:r>
      <w:r>
        <w:rPr>
          <w:i/>
          <w:iCs/>
        </w:rPr>
        <w:t xml:space="preserve">aff’g in part and rev’g in part </w:t>
      </w:r>
      <w:r>
        <w:t>T.C. Memo. 2003</w:t>
      </w:r>
      <w:r>
        <w:noBreakHyphen/>
        <w:t xml:space="preserve">145; </w:t>
      </w:r>
      <w:r>
        <w:rPr>
          <w:i/>
          <w:iCs/>
        </w:rPr>
        <w:t>Hall v. Comm’r</w:t>
      </w:r>
      <w:r>
        <w:t xml:space="preserve">, 92 T.C. 312, 335 (1989).  The court stated that there was, in this case, no credible evidence that the parties colluded or had side deals or that the form of the transactions otherwise differed from the substance.  The government argued that the formula clauses were not an arm’s length transaction because the parties (the taxpayers and their daughters and trusts) were close and lacked adverse interests.  The court stated that the mere facts that taxpayers and their daughters were “close” and that the taxpayers’ estate plan benefitted the daughters did not necessarily negate the existence of an arm’s length transaction.  </w:t>
      </w:r>
      <w:r>
        <w:rPr>
          <w:i/>
          <w:iCs/>
        </w:rPr>
        <w:t>Kimbell v. United States</w:t>
      </w:r>
      <w:r>
        <w:t xml:space="preserve">, 371 F.3d 257, 263 (5th Cir. 2004); </w:t>
      </w:r>
      <w:r>
        <w:rPr>
          <w:i/>
          <w:iCs/>
        </w:rPr>
        <w:t>Huber v. Comm’r</w:t>
      </w:r>
      <w:r>
        <w:t>, T.C. Memo. 2006</w:t>
      </w:r>
      <w:r>
        <w:noBreakHyphen/>
        <w:t xml:space="preserve">96; </w:t>
      </w:r>
      <w:r>
        <w:rPr>
          <w:i/>
          <w:iCs/>
        </w:rPr>
        <w:t>Estate of Stone v. Comm’r</w:t>
      </w:r>
      <w:r>
        <w:t>, T.C. Memo. 2003</w:t>
      </w:r>
      <w:r>
        <w:noBreakHyphen/>
        <w:t xml:space="preserve">309.  The court found nothing to show that the clauses were not subject to negotiation or that the taxpayers and the daughters’ trusts lacked </w:t>
      </w:r>
      <w:r>
        <w:lastRenderedPageBreak/>
        <w:t>adverse interests, and that the economic and business risk assumed by the daughters’ trusts as buyers of the stock necessarily placed them at odds with the taxpayers and the Foundation.  The court also refused to find collusion between the taxpayers and the Foundation.  The taxpayers’ creation of a do</w:t>
      </w:r>
      <w:r>
        <w:softHyphen/>
        <w:t>nor</w:t>
      </w:r>
      <w:r>
        <w:noBreakHyphen/>
        <w:t>advised fund at the Foundation was consistent with their general pattern of charitable activity, because they could still request the Foundation to provide a grant to any of their usual donees.  The Foundation, in turn, accepted various potential risks incident to its receipt of petitioners’ gift of the nonvoting stock, including a loss of the Foundation’s tax</w:t>
      </w:r>
      <w:r>
        <w:noBreakHyphen/>
        <w:t xml:space="preserve">exempt status if it failed to exercise due diligence as to the gift.  The Foundation, a manager of nearly $270 million in assets, exercised its bargaining power when its counsel insisted that petitioners pay local taxes and penalties as well as Federal and State taxes and penalties if the corporation failed to distribute sufficient income to pay those taxes.  The Foundation also was represented by independent counsel and it conducted an independent appraisal through its own appraiser.  Furthermore, the Foundation had a fiduciary obligation to ensure that it received the number of shares it was entitled to receive under the formula clauses.  The court also rejected the contention that the formula clauses were void as contrary to public policy.  The government relied on </w:t>
      </w:r>
      <w:r>
        <w:rPr>
          <w:i/>
          <w:iCs/>
        </w:rPr>
        <w:t>Comm’r v. Procter</w:t>
      </w:r>
      <w:r>
        <w:t xml:space="preserve">, 142 F.2d 824 (4th Cir. 1944), and the cases and rulings that followed it, but the court distinguished those precedents.  In </w:t>
      </w:r>
      <w:r>
        <w:rPr>
          <w:i/>
          <w:iCs/>
        </w:rPr>
        <w:t>Proctor</w:t>
      </w:r>
      <w:r>
        <w:t xml:space="preserve">, a taxpayer assigned his interest in two trusts subject to the life estate of his mother.  The trust was to make certain payments to the taxpayer.  The trust agreement contained a saving clause under which, if it were ultimately determined that any part of the transfer in trust was subject to gift tax, the property subject to the tax would remain the property of the taxpayer.  The Court of Appeals for the Fourth Circuit held that this saving clause was void as contrary to public policy, because the provision discouraged the collection of the tax because any attempt to collect the tax would defeat the gift, it had the effect of obstructing  the administration of justice by requiring a court to pass upon a moot case, and it would reduce a Federal court’s final judgment to a declaratory judgment.  </w:t>
      </w:r>
      <w:r>
        <w:rPr>
          <w:i/>
          <w:iCs/>
        </w:rPr>
        <w:t xml:space="preserve">Proctor </w:t>
      </w:r>
      <w:r>
        <w:t xml:space="preserve">has been followed by the Tax Court in </w:t>
      </w:r>
      <w:r>
        <w:rPr>
          <w:i/>
          <w:iCs/>
        </w:rPr>
        <w:t>Ward v. Comm’r</w:t>
      </w:r>
      <w:r>
        <w:t>, 87 T.C. 78 (1986) (invalidating saving clause that provided for a retroactive adjustment of stock to escape any imposi</w:t>
      </w:r>
      <w:r>
        <w:softHyphen/>
        <w:t xml:space="preserve">tion of gift tax).  The Tax Court stated that the present case was distinguishable from the </w:t>
      </w:r>
      <w:r>
        <w:rPr>
          <w:i/>
          <w:iCs/>
        </w:rPr>
        <w:t>Procter</w:t>
      </w:r>
      <w:r>
        <w:t xml:space="preserve"> line of cases because the defined value formula clauses in this case imposed no condition subsequent that would defeat the transfer, and because the formula clauses further the fundamental public policy of encouraging gifts to charity.  See </w:t>
      </w:r>
      <w:r>
        <w:rPr>
          <w:i/>
          <w:iCs/>
        </w:rPr>
        <w:t>Estate of Christiansen v. Comm’r</w:t>
      </w:r>
      <w:r>
        <w:t>, 130 T.C. 1, 16</w:t>
      </w:r>
      <w:r>
        <w:noBreakHyphen/>
        <w:t xml:space="preserve">18 (2008), </w:t>
      </w:r>
      <w:r>
        <w:rPr>
          <w:i/>
          <w:iCs/>
        </w:rPr>
        <w:t>aff’d</w:t>
      </w:r>
      <w:r>
        <w:t>, 586 F.3d 1061 (8th Cir. 2009).</w:t>
      </w:r>
    </w:p>
    <w:p w:rsidR="00800BE7" w:rsidRDefault="00800BE7">
      <w:pPr>
        <w:widowControl/>
        <w:jc w:val="both"/>
      </w:pPr>
    </w:p>
    <w:p w:rsidR="00800BE7" w:rsidRDefault="00800BE7">
      <w:pPr>
        <w:widowControl/>
        <w:ind w:left="1440" w:firstLine="720"/>
        <w:jc w:val="both"/>
      </w:pPr>
      <w:r>
        <w:rPr>
          <w:b/>
          <w:bCs/>
        </w:rPr>
        <w:lastRenderedPageBreak/>
        <w:t xml:space="preserve">Note. </w:t>
      </w:r>
      <w:r>
        <w:t xml:space="preserve"> The </w:t>
      </w:r>
      <w:r>
        <w:rPr>
          <w:i/>
          <w:iCs/>
        </w:rPr>
        <w:t xml:space="preserve">Hendrix </w:t>
      </w:r>
      <w:r>
        <w:t>discussion of substance over form seems oddly inappropriate in a gift context.  The court focused on the independent interests and negotiations of the parties, but in a donative transaction, there are rarely any negotiations.  Also,  the discussion of the need for economic and business risks seems inappropriate in a gratuitous transfer.  Possibly these issues arose because the transaction was a part-sale.  Nonetheless, the transaction and the defined value gift clause were both sustained.</w:t>
      </w:r>
    </w:p>
    <w:p w:rsidR="00800BE7" w:rsidRDefault="00800BE7">
      <w:pPr>
        <w:widowControl/>
        <w:ind w:left="1440" w:firstLine="720"/>
        <w:jc w:val="both"/>
      </w:pPr>
      <w:r>
        <w:t xml:space="preserve">These cases are clear judicial approval of the use of defined value gifts.  </w:t>
      </w:r>
      <w:r>
        <w:rPr>
          <w:i/>
          <w:iCs/>
        </w:rPr>
        <w:t>McCord, Christiansen</w:t>
      </w:r>
      <w:r>
        <w:t xml:space="preserve">, </w:t>
      </w:r>
      <w:r>
        <w:rPr>
          <w:i/>
          <w:iCs/>
        </w:rPr>
        <w:t>Petter</w:t>
      </w:r>
      <w:r>
        <w:t xml:space="preserve">, and </w:t>
      </w:r>
      <w:r>
        <w:rPr>
          <w:i/>
          <w:iCs/>
        </w:rPr>
        <w:t>Hendrix</w:t>
      </w:r>
      <w:r>
        <w:t xml:space="preserve"> should make practitioners quite comfortable using these clauses for blended charitable and noncharit</w:t>
      </w:r>
      <w:r>
        <w:softHyphen/>
        <w:t xml:space="preserve">able gifts, unless and until the IRS does change its regulations, as invited in </w:t>
      </w:r>
      <w:r>
        <w:rPr>
          <w:i/>
          <w:iCs/>
        </w:rPr>
        <w:t>Petter</w:t>
      </w:r>
      <w:r>
        <w:t>.</w:t>
      </w:r>
    </w:p>
    <w:p w:rsidR="00800BE7" w:rsidRDefault="00800BE7">
      <w:pPr>
        <w:widowControl/>
        <w:ind w:left="1440" w:firstLine="720"/>
        <w:jc w:val="both"/>
      </w:pPr>
      <w:r>
        <w:t xml:space="preserve">Donors who are not charitable inclined may considering having the excess gifts transferred to a zero-gift GRAT.  It is understood that the IRS has conceded several cases in which zero-gift GRATs were used in conjunction with a defined value gift clause.  This seems odd, however, because the net effect of a zero-gift GRAT is for the excess gift to return to the donor, which should fall well within the </w:t>
      </w:r>
      <w:r>
        <w:rPr>
          <w:i/>
          <w:iCs/>
        </w:rPr>
        <w:t xml:space="preserve">Proctor </w:t>
      </w:r>
      <w:r>
        <w:t>line of cases.</w:t>
      </w:r>
    </w:p>
    <w:p w:rsidR="00800BE7" w:rsidRDefault="00800BE7">
      <w:pPr>
        <w:widowControl/>
        <w:ind w:left="1440" w:firstLine="720"/>
        <w:jc w:val="both"/>
      </w:pPr>
      <w:r>
        <w:t xml:space="preserve">A donor who does not use a charitable donee loses the benefit of the strong policy encouraging charitable gifts.  This policy was cited by the Tax Court in both </w:t>
      </w:r>
      <w:r>
        <w:rPr>
          <w:i/>
          <w:iCs/>
        </w:rPr>
        <w:t>Petter</w:t>
      </w:r>
      <w:r>
        <w:t xml:space="preserve"> and </w:t>
      </w:r>
      <w:r>
        <w:rPr>
          <w:i/>
          <w:iCs/>
        </w:rPr>
        <w:t>Hendrix</w:t>
      </w:r>
      <w:r>
        <w:t>.  See also Duffey &amp; Duffey, “Valuation Formula Clauses for the Noncharitably Inclined,” 38 Est. Plan. 30 (June, 2011).</w:t>
      </w:r>
    </w:p>
    <w:p w:rsidR="00800BE7" w:rsidRDefault="00800BE7">
      <w:pPr>
        <w:widowControl/>
        <w:ind w:left="1440" w:firstLine="720"/>
        <w:jc w:val="both"/>
      </w:pPr>
      <w:r>
        <w:t>Another point of interest: the taxpayers in all four of the taxpayer victories (</w:t>
      </w:r>
      <w:r>
        <w:rPr>
          <w:i/>
          <w:iCs/>
        </w:rPr>
        <w:t>McCord, Christiansen</w:t>
      </w:r>
      <w:r>
        <w:t xml:space="preserve">, </w:t>
      </w:r>
      <w:r>
        <w:rPr>
          <w:i/>
          <w:iCs/>
        </w:rPr>
        <w:t>Petter</w:t>
      </w:r>
      <w:r>
        <w:t xml:space="preserve">, and </w:t>
      </w:r>
      <w:r>
        <w:rPr>
          <w:i/>
          <w:iCs/>
        </w:rPr>
        <w:t>Hendrix</w:t>
      </w:r>
      <w:r>
        <w:t>) were represented by John Porter, Esquire, Baker Botts, LLP, Houston, Texas.</w:t>
      </w:r>
    </w:p>
    <w:p w:rsidR="00800BE7" w:rsidRDefault="00800BE7">
      <w:pPr>
        <w:widowControl/>
        <w:ind w:left="144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2518.  Disclaimers</w:t>
      </w:r>
      <w:r>
        <w:fldChar w:fldCharType="begin"/>
      </w:r>
      <w:r w:rsidR="00800BE7">
        <w:instrText>tc \l2 "</w:instrText>
      </w:r>
      <w:r w:rsidR="00800BE7">
        <w:rPr>
          <w:b/>
          <w:bCs/>
        </w:rPr>
        <w:instrText>Field result goes here</w:instrText>
      </w:r>
      <w:r w:rsidR="00800BE7">
        <w:rPr>
          <w:b/>
          <w:bCs/>
        </w:rPr>
        <w:tab/>
        <w:instrText>Code § 2518.  Disclaimers</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Disclaimer of Share of Residue is Qualified Because of Anti-Lapse Statute and Testator’s Intent.  </w:t>
      </w:r>
      <w:r w:rsidR="00800BE7">
        <w:rPr>
          <w:b/>
          <w:bCs/>
          <w:i/>
          <w:iCs/>
        </w:rPr>
        <w:t>Estate of Tatum, Jr. v.  United States,</w:t>
      </w:r>
      <w:r w:rsidR="00800BE7">
        <w:rPr>
          <w:b/>
          <w:bCs/>
        </w:rPr>
        <w:t xml:space="preserve"> 2011 WL 3444095 (5</w:t>
      </w:r>
      <w:r w:rsidR="00800BE7">
        <w:rPr>
          <w:b/>
          <w:bCs/>
          <w:vertAlign w:val="superscript"/>
        </w:rPr>
        <w:t>th</w:t>
      </w:r>
      <w:r w:rsidR="00800BE7">
        <w:rPr>
          <w:b/>
          <w:bCs/>
        </w:rPr>
        <w:t xml:space="preserve"> Cir.  Aug. 8, 2011), </w:t>
      </w:r>
      <w:r w:rsidR="00800BE7">
        <w:rPr>
          <w:b/>
          <w:bCs/>
          <w:i/>
          <w:iCs/>
        </w:rPr>
        <w:t>rev’g and rem’g per curiam</w:t>
      </w:r>
      <w:r w:rsidR="00800BE7">
        <w:rPr>
          <w:b/>
          <w:bCs/>
        </w:rPr>
        <w:t xml:space="preserve"> 2010 WL 3942738, 106 A.F.T.R.2d 2010</w:t>
      </w:r>
      <w:r w:rsidR="00800BE7">
        <w:rPr>
          <w:b/>
          <w:bCs/>
        </w:rPr>
        <w:noBreakHyphen/>
        <w:t>6556 (S.D. Miss. Oct. 7, 2010)</w:t>
      </w:r>
      <w:r>
        <w:rPr>
          <w:b/>
          <w:bCs/>
        </w:rPr>
        <w:fldChar w:fldCharType="begin"/>
      </w:r>
      <w:r w:rsidR="00800BE7">
        <w:rPr>
          <w:b/>
          <w:bCs/>
        </w:rPr>
        <w:instrText>tc \l3 "Field result goes here</w:instrText>
      </w:r>
      <w:r w:rsidR="00800BE7">
        <w:rPr>
          <w:b/>
          <w:bCs/>
        </w:rPr>
        <w:tab/>
        <w:instrText xml:space="preserve">Disclaimer of Share of Residue is Qualified Because of Anti-Lapse Statute and Testator’s Intent.  </w:instrText>
      </w:r>
      <w:r w:rsidR="00800BE7">
        <w:rPr>
          <w:b/>
          <w:bCs/>
          <w:i/>
          <w:iCs/>
        </w:rPr>
        <w:instrText>Estate of Tatum, Jr. v.  United States,</w:instrText>
      </w:r>
      <w:r w:rsidR="00800BE7">
        <w:rPr>
          <w:b/>
          <w:bCs/>
        </w:rPr>
        <w:instrText xml:space="preserve"> 2011 WL 3444095 (5</w:instrText>
      </w:r>
      <w:r w:rsidR="00800BE7">
        <w:rPr>
          <w:b/>
          <w:bCs/>
          <w:vertAlign w:val="superscript"/>
        </w:rPr>
        <w:instrText>th</w:instrText>
      </w:r>
      <w:r w:rsidR="00800BE7">
        <w:rPr>
          <w:b/>
          <w:bCs/>
        </w:rPr>
        <w:instrText xml:space="preserve"> Cir.  Aug. 8, 2011), </w:instrText>
      </w:r>
      <w:r w:rsidR="00800BE7">
        <w:rPr>
          <w:b/>
          <w:bCs/>
          <w:i/>
          <w:iCs/>
        </w:rPr>
        <w:instrText>rev’g and rem’g per curiam</w:instrText>
      </w:r>
      <w:r w:rsidR="00800BE7">
        <w:rPr>
          <w:b/>
          <w:bCs/>
        </w:rPr>
        <w:instrText xml:space="preserve"> 2010 WL 3942738, 106 A.F.T.R.2d 2010</w:instrText>
      </w:r>
      <w:r w:rsidR="00800BE7">
        <w:rPr>
          <w:b/>
          <w:bCs/>
        </w:rPr>
        <w:noBreakHyphen/>
        <w:instrText>6556 (S.D. Miss. Oct. 7, 2010)</w:instrText>
      </w:r>
      <w:r>
        <w:rPr>
          <w:b/>
          <w:bCs/>
        </w:rPr>
        <w:fldChar w:fldCharType="end"/>
      </w:r>
    </w:p>
    <w:p w:rsidR="00800BE7" w:rsidRDefault="00800BE7">
      <w:pPr>
        <w:keepNext/>
        <w:keepLines/>
        <w:widowControl/>
        <w:jc w:val="both"/>
      </w:pPr>
    </w:p>
    <w:p w:rsidR="00800BE7" w:rsidRDefault="00800BE7">
      <w:pPr>
        <w:keepLines/>
        <w:widowControl/>
        <w:ind w:left="2160"/>
        <w:jc w:val="both"/>
      </w:pPr>
      <w:r>
        <w:t xml:space="preserve">Franklin M. Tatum, Jr. (Junior) was the only surviving child of Frank M. Tatum, Sr. (Senior), and he was one of his father’s executors.  Senior’s will left 60% of his residuary estate to Junior, and 20% to each of Junior’s two children.  It also stated that the share for any of these descendants who did not survive Senior would pass to the descendant’s own descendants, </w:t>
      </w:r>
      <w:r>
        <w:rPr>
          <w:i/>
          <w:iCs/>
        </w:rPr>
        <w:t>per stirpes</w:t>
      </w:r>
      <w:r>
        <w:t>.  Junior disclaimed any interest in certain stock passing under the residuary clause.  The three executors submitted an order to the local probate court, which adopted it, stating that the disclaimed stock would pass to the children of Junior as if he had predeceased his father.  The IRS claimed that the disclaimer was not qualified under Section 2518, and assessed over $1.6 million in gift taxes, plus statutory interest.</w:t>
      </w:r>
    </w:p>
    <w:p w:rsidR="00800BE7" w:rsidRDefault="00800BE7">
      <w:pPr>
        <w:widowControl/>
        <w:ind w:left="2160" w:firstLine="720"/>
        <w:jc w:val="both"/>
      </w:pPr>
      <w:r>
        <w:t>The District Court (Judge Starrett) held that the disclaimer was not qualified, because the disclaimed property passed back to the disclaimant, rather than to his children.  The court noted that applica</w:t>
      </w:r>
      <w:r>
        <w:softHyphen/>
        <w:t xml:space="preserve">ble state law (Mississippi) determines the succession to disclaimed property based on the decedent’s intent, as shown from the wording of the will.  The court noted that the Mississippi Supreme Court had stated that a widow’s renunciation of a life estate was equivalent to its termination by her death, unless a contrary intent was evidenced by the will.  </w:t>
      </w:r>
      <w:r>
        <w:rPr>
          <w:i/>
          <w:iCs/>
        </w:rPr>
        <w:t>Rose v. Rose</w:t>
      </w:r>
      <w:r>
        <w:t xml:space="preserve">, 126 Miss. 114, 88 So. 513 (Miss. 1921); </w:t>
      </w:r>
      <w:r>
        <w:rPr>
          <w:i/>
          <w:iCs/>
        </w:rPr>
        <w:t>Greely v. Houston</w:t>
      </w:r>
      <w:r>
        <w:t xml:space="preserve">, 148 Miss. 799, 114 So. 740 (Miss. 1927).  That court had also held, however, that a lapsed residuary bequest passes by intestate succession. </w:t>
      </w:r>
      <w:r>
        <w:rPr>
          <w:i/>
          <w:iCs/>
        </w:rPr>
        <w:t>Byrd v. Byrd</w:t>
      </w:r>
      <w:r>
        <w:t xml:space="preserve">, 181 So. 727, 731 (Miss. 1938); </w:t>
      </w:r>
      <w:r>
        <w:rPr>
          <w:i/>
          <w:iCs/>
        </w:rPr>
        <w:t>Moffett v. Howard</w:t>
      </w:r>
      <w:r>
        <w:t>, 392 So.2d 509, 511 (Miss. 1981).  Under state intestacy law , the disclaimed assets were transferred to Junior as the only surviving descendant.</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Fifth Circuit, in a </w:t>
      </w:r>
      <w:r>
        <w:rPr>
          <w:i/>
          <w:iCs/>
        </w:rPr>
        <w:t>per curiam opinion</w:t>
      </w:r>
      <w:r>
        <w:t>, reversed and remanded.  The court noted that the treatment of a lapsed portion of a residual bequest as intestate property is qualified by the state’s anti</w:t>
      </w:r>
      <w:r>
        <w:noBreakHyphen/>
        <w:t>lapse statute, which prevents lapse of a bequest to a predeceas</w:t>
      </w:r>
      <w:r>
        <w:softHyphen/>
        <w:t>ing child of the testator – the bequest passes as if the legatee had survived the testator and then died intestate. Miss. Code § 91</w:t>
      </w:r>
      <w:r>
        <w:sym w:font="Symbol" w:char="F05F"/>
      </w:r>
      <w:r>
        <w:t>5</w:t>
      </w:r>
      <w:r>
        <w:sym w:font="Symbol" w:char="F05F"/>
      </w:r>
      <w:r>
        <w:t xml:space="preserve">7; </w:t>
      </w:r>
      <w:r>
        <w:rPr>
          <w:i/>
          <w:iCs/>
        </w:rPr>
        <w:t>In re Estate of Mason</w:t>
      </w:r>
      <w:r>
        <w:t xml:space="preserve">, 616 So.2d 322, 330 (Miss.1993); </w:t>
      </w:r>
      <w:r>
        <w:rPr>
          <w:i/>
          <w:iCs/>
        </w:rPr>
        <w:t>Moffett v. Howard,</w:t>
      </w:r>
      <w:r>
        <w:t xml:space="preserve"> 392 So.2d 509, 512 (Miss.1981). Therefore, to the extent that Junior's disclaimer effectively resulted in a lapsed bequest, his </w:t>
      </w:r>
      <w:r>
        <w:lastRenderedPageBreak/>
        <w:t xml:space="preserve">disclaimed interest </w:t>
      </w:r>
      <w:r>
        <w:sym w:font="Symbol" w:char="F05F"/>
      </w:r>
      <w:r>
        <w:t>passe[d] without any direction on [his] part ... to a person other than [himself].</w:t>
      </w:r>
      <w:r>
        <w:sym w:font="Symbol" w:char="F05F"/>
      </w:r>
      <w:r>
        <w:t xml:space="preserve"> The Fifth Circuit also noted that, even if state law did not cover the situation, the will manifested the testator’s intent that disclaimed property go to the disclaimant’s children.</w:t>
      </w:r>
    </w:p>
    <w:p w:rsidR="00800BE7" w:rsidRDefault="00800BE7">
      <w:pPr>
        <w:widowControl/>
        <w:ind w:left="2160" w:firstLine="720"/>
        <w:jc w:val="both"/>
      </w:pPr>
      <w:r>
        <w:rPr>
          <w:b/>
          <w:bCs/>
        </w:rPr>
        <w:t>Note.</w:t>
      </w:r>
      <w:r>
        <w:t xml:space="preserve">  In planning a disclaimer of a share of the residuary estate, the disclaimant may avoid these problems by at the same time disclaiming also any interest passing to him or her by intestacy.  Similarly, one disclaiming a specific or general gift may also want to disclaim any interest in that property that would pass under the residuary clause of the will.</w:t>
      </w:r>
    </w:p>
    <w:p w:rsidR="00800BE7" w:rsidRDefault="00800BE7">
      <w:pPr>
        <w:widowControl/>
        <w:jc w:val="both"/>
      </w:pPr>
    </w:p>
    <w:p w:rsidR="00800BE7" w:rsidRDefault="00BC7053">
      <w:pPr>
        <w:keepNext/>
        <w:keepLines/>
        <w:widowControl/>
        <w:tabs>
          <w:tab w:val="left" w:pos="-1440"/>
        </w:tabs>
        <w:ind w:left="2160" w:hanging="720"/>
        <w:jc w:val="both"/>
        <w:rPr>
          <w:b/>
          <w:bCs/>
        </w:rPr>
      </w:pPr>
      <w:r>
        <w:rPr>
          <w:b/>
          <w:bCs/>
        </w:rPr>
        <w:fldChar w:fldCharType="begin"/>
      </w:r>
      <w:r w:rsidR="00800BE7">
        <w:rPr>
          <w:b/>
          <w:bCs/>
        </w:rPr>
        <w:instrText>LISTNUM Outline \l 3</w:instrText>
      </w:r>
      <w:r>
        <w:rPr>
          <w:b/>
          <w:bCs/>
        </w:rPr>
        <w:fldChar w:fldCharType="end"/>
      </w:r>
      <w:r w:rsidR="00800BE7">
        <w:rPr>
          <w:b/>
          <w:bCs/>
        </w:rPr>
        <w:tab/>
        <w:t>Sweeping of Required Minimum Distribution into Disclaimant’s Bank Account Does Not Preclude Qualified Disclaimer of Part of Retirement Plan Benefits.  PLR 201125009 (June 24, 2011)</w:t>
      </w:r>
      <w:r>
        <w:rPr>
          <w:b/>
          <w:bCs/>
        </w:rPr>
        <w:fldChar w:fldCharType="begin"/>
      </w:r>
      <w:r w:rsidR="00800BE7">
        <w:rPr>
          <w:b/>
          <w:bCs/>
        </w:rPr>
        <w:instrText>tc \l3 "Field result goes here</w:instrText>
      </w:r>
      <w:r w:rsidR="00800BE7">
        <w:rPr>
          <w:b/>
          <w:bCs/>
        </w:rPr>
        <w:tab/>
        <w:instrText>Sweeping of Required Minimum Distribution into Disclaimant’s Bank Account Does Not Preclude Qualified Disclaimer of Part of Retirement Plan Benefits.  PLR 201125009 (June 24, 2011)</w:instrText>
      </w:r>
      <w:r>
        <w:rPr>
          <w:b/>
          <w:bCs/>
        </w:rPr>
        <w:fldChar w:fldCharType="end"/>
      </w:r>
    </w:p>
    <w:p w:rsidR="00800BE7" w:rsidRDefault="00800BE7">
      <w:pPr>
        <w:keepNext/>
        <w:keepLines/>
        <w:widowControl/>
        <w:jc w:val="both"/>
        <w:rPr>
          <w:b/>
          <w:bCs/>
        </w:rPr>
      </w:pPr>
    </w:p>
    <w:p w:rsidR="00800BE7" w:rsidRDefault="00800BE7">
      <w:pPr>
        <w:keepLines/>
        <w:widowControl/>
        <w:ind w:left="2160"/>
        <w:jc w:val="both"/>
      </w:pPr>
      <w:r>
        <w:t>Decedent died survived by Spouse and three children, leaving, among other assets, an individual retirement account (IRA), and three Section 403(b) retirement accounts.  All of the beneficiary designation forms named Spouse as the primary beneficiary, and stated that, if Spouse survived Decedent and disclaimed her interests in the retirement accounts, the disclaimed interests would be held by a trustee of a disclaimer trust under Decedent’s will.  The disclaimer trust pays all income to Spouse for life, together with discretionary distributions of principal.  Spouse also has the right to withdraw five percent of the trust principal each year.  Decedent was receiving required minimum distributions (RMDs) from the retirement accounts at his death.  The RMDs from all of the accounts were distributed quarterly by automatic deposit into Bank Account 1, which was held jointly in the names of Decedent and Spouse with rights of survivorship.  Spouse died.  Thereafter, the brokerage firms automatically deposited RMDs into Bank Account 1.  Thereafter, a court appointed Daughter as Administra</w:t>
      </w:r>
      <w:r>
        <w:softHyphen/>
        <w:t>trix of Spouse’s estate.  Daughter then closed Bank Account 1 and opened Bank Account 2 for Spouse’s estate, transfer</w:t>
      </w:r>
      <w:r>
        <w:softHyphen/>
        <w:t>ring the entire balance of Bank Account 1 into Bank Account 2.  On a later date, the local court granted Daughter, as Administratrix, authority to disclaim Spouse’s entire interest in the IRA and two of the Section 403(b) accounts, and to disclaim one of the investments in another Section 403(b) account.  Daughter executed the disclaimer in proper form.</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IRS stated that Daughter’s disclaimer was qualified under Section 2518, despite the fact that the RMDs from the disclaimed accounts and assets had already been transferred by automatic deposit to the bank account that was owned by Spouse.  The IRS stated that these transfers did not constitute an acceptance of any </w:t>
      </w:r>
      <w:r>
        <w:lastRenderedPageBreak/>
        <w:t>portion of Decedent’s retirement accounts, within the meaning of Regs. §§ 2518(b)(3) and 25.2518</w:t>
      </w:r>
      <w:r>
        <w:noBreakHyphen/>
        <w:t>2(d).The IRS relied largely on Rev. Rul. 2005</w:t>
      </w:r>
      <w:r>
        <w:noBreakHyphen/>
        <w:t>36, 2005</w:t>
      </w:r>
      <w:r>
        <w:noBreakHyphen/>
        <w:t>1 C.B. 1368, which states that a beneficiary’s receipt of RMDs from an IRA constitutes acceptance of that portion of the corpus of such account, plus the income attributable to that amount, but that it does not preclude the beneficiary from making a qualified disclaimer with respect to all or a portion of the balance of the IRA.  The amount of income attributable to the RMDs for each account that is deemed accepted by Spouse and not disclaimable is calculated with respect to each account by:</w:t>
      </w:r>
    </w:p>
    <w:p w:rsidR="00800BE7" w:rsidRDefault="00800BE7">
      <w:pPr>
        <w:widowControl/>
        <w:jc w:val="both"/>
      </w:pPr>
    </w:p>
    <w:p w:rsidR="00800BE7" w:rsidRDefault="00800BE7">
      <w:pPr>
        <w:keepNext/>
        <w:keepLines/>
        <w:widowControl/>
        <w:tabs>
          <w:tab w:val="left" w:pos="-1440"/>
        </w:tabs>
        <w:ind w:left="5760" w:hanging="3600"/>
        <w:jc w:val="both"/>
      </w:pPr>
      <w:r>
        <w:t xml:space="preserve">the total amount of RMDs </w:t>
      </w:r>
      <w:r>
        <w:tab/>
      </w:r>
      <w:r>
        <w:tab/>
        <w:t>Total income earned on that ac</w:t>
      </w:r>
    </w:p>
    <w:p w:rsidR="00800BE7" w:rsidRDefault="00800BE7">
      <w:pPr>
        <w:keepNext/>
        <w:keepLines/>
        <w:widowControl/>
        <w:ind w:firstLine="2160"/>
        <w:jc w:val="both"/>
      </w:pPr>
      <w:r>
        <w:rPr>
          <w:u w:val="single"/>
        </w:rPr>
        <w:t>Received from an account</w:t>
      </w:r>
      <w:r>
        <w:tab/>
      </w:r>
      <w:r>
        <w:tab/>
        <w:t>count between the date of death</w:t>
      </w:r>
    </w:p>
    <w:p w:rsidR="00800BE7" w:rsidRDefault="00800BE7">
      <w:pPr>
        <w:keepNext/>
        <w:keepLines/>
        <w:widowControl/>
        <w:tabs>
          <w:tab w:val="left" w:pos="-1440"/>
        </w:tabs>
        <w:ind w:left="5760" w:hanging="3600"/>
        <w:jc w:val="both"/>
      </w:pPr>
      <w:r>
        <w:t xml:space="preserve">The total value of that </w:t>
      </w:r>
      <w:r>
        <w:tab/>
        <w:t xml:space="preserve">  X</w:t>
      </w:r>
      <w:r>
        <w:tab/>
        <w:t>and the date of disclaimer</w:t>
      </w:r>
    </w:p>
    <w:p w:rsidR="00800BE7" w:rsidRDefault="00800BE7">
      <w:pPr>
        <w:keepNext/>
        <w:keepLines/>
        <w:widowControl/>
        <w:ind w:firstLine="2160"/>
        <w:jc w:val="both"/>
      </w:pPr>
      <w:r>
        <w:t xml:space="preserve">account on the date of death </w:t>
      </w:r>
    </w:p>
    <w:p w:rsidR="00800BE7" w:rsidRDefault="00800BE7">
      <w:pPr>
        <w:keepLines/>
        <w:widowControl/>
        <w:jc w:val="both"/>
      </w:pPr>
    </w:p>
    <w:p w:rsidR="00800BE7" w:rsidRDefault="00800BE7">
      <w:pPr>
        <w:widowControl/>
        <w:ind w:left="2160"/>
        <w:jc w:val="both"/>
      </w:pPr>
      <w:r>
        <w:t>Spouse may make a qualified disclaimer of the balance of the retirement accounts if the requirements of Section 2518 have been otherwise been met.</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Gift Tax Procedures</w:t>
      </w:r>
      <w:r>
        <w:rPr>
          <w:b/>
          <w:bCs/>
        </w:rPr>
        <w:fldChar w:fldCharType="begin"/>
      </w:r>
      <w:r w:rsidR="00800BE7">
        <w:rPr>
          <w:b/>
          <w:bCs/>
        </w:rPr>
        <w:instrText>tc \l2 "Field result goes here</w:instrText>
      </w:r>
      <w:r w:rsidR="00800BE7">
        <w:rPr>
          <w:b/>
          <w:bCs/>
        </w:rPr>
        <w:tab/>
        <w:instrText>Gift Tax Procedures</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 xml:space="preserve">Federal Court Refuses to Order Release of California Property Tax Records to Catch Gift Tax Non-Filers.  </w:t>
      </w:r>
      <w:r>
        <w:rPr>
          <w:b/>
          <w:bCs/>
          <w:i/>
          <w:iCs/>
        </w:rPr>
        <w:t>In re Tax Liabilities of Does</w:t>
      </w:r>
      <w:r>
        <w:rPr>
          <w:b/>
          <w:bCs/>
        </w:rPr>
        <w:t>, 2011 WL 2119091, 107 A.F.T.R.2d 2011</w:t>
      </w:r>
      <w:r>
        <w:rPr>
          <w:b/>
          <w:bCs/>
        </w:rPr>
        <w:noBreakHyphen/>
        <w:t>2318 (E.D. Cal. May 23, 2011) (slip copy)</w:t>
      </w:r>
      <w:r w:rsidR="00BC7053">
        <w:fldChar w:fldCharType="begin"/>
      </w:r>
      <w:r>
        <w:instrText>tc \l3 "</w:instrText>
      </w:r>
      <w:r>
        <w:rPr>
          <w:b/>
          <w:bCs/>
        </w:rPr>
        <w:instrText xml:space="preserve">Federal Court Refuses to Order Release of California Property Tax Records to Catch Gift Tax Non-Filers.  </w:instrText>
      </w:r>
      <w:r>
        <w:rPr>
          <w:b/>
          <w:bCs/>
          <w:i/>
          <w:iCs/>
        </w:rPr>
        <w:instrText>In re Tax Liabilities of Does</w:instrText>
      </w:r>
      <w:r>
        <w:rPr>
          <w:b/>
          <w:bCs/>
        </w:rPr>
        <w:instrText>, 2011 WL 2119091, 107 A.F.T.R.2d 2011</w:instrText>
      </w:r>
      <w:r>
        <w:rPr>
          <w:b/>
          <w:bCs/>
        </w:rPr>
        <w:noBreakHyphen/>
        <w:instrText>2318 (E.D. Cal. May 23, 2011) (slip copy)</w:instrText>
      </w:r>
      <w:r w:rsidR="00BC7053">
        <w:fldChar w:fldCharType="end"/>
      </w:r>
    </w:p>
    <w:p w:rsidR="00800BE7" w:rsidRDefault="00800BE7">
      <w:pPr>
        <w:keepNext/>
        <w:keepLines/>
        <w:widowControl/>
        <w:jc w:val="both"/>
      </w:pPr>
    </w:p>
    <w:p w:rsidR="00800BE7" w:rsidRDefault="00800BE7">
      <w:pPr>
        <w:keepLines/>
        <w:widowControl/>
        <w:ind w:left="1440"/>
        <w:jc w:val="both"/>
      </w:pPr>
      <w:r>
        <w:t>The IRS requested a summons to order the California Board of Equalization to turn over its computer database in order to discover donors who have not reported taxable intrafamily gifts of real property between 2005 and 2010.  The Board of Equalization maintains information about transfers under California Propositions 58 and 193, which exclude from reassessment property transfers between parents and children and grandparents and grandchildren.  An IRS representative stated that “based on information received from examinations across the country and information voluntarily disclosed by other states, the IRS has determined that taxpayers who transfer real property to a related party for little or no consideration frequently fail to file Form 709 and report this transfer, despite the fact that they are required to do so by the internal revenue laws.” This, the IRS asserts, provides a reasonable basis to believe that a significant portion of the California taxpayers who have transferred property to their children or grandchildren for little or no consideration have failed to report these transfers as taxable gifts.</w:t>
      </w:r>
    </w:p>
    <w:p w:rsidR="00800BE7" w:rsidRDefault="00800BE7">
      <w:pPr>
        <w:keepLines/>
        <w:widowControl/>
        <w:ind w:left="1440"/>
        <w:jc w:val="both"/>
        <w:sectPr w:rsidR="00800BE7">
          <w:type w:val="continuous"/>
          <w:pgSz w:w="12240" w:h="15840"/>
          <w:pgMar w:top="1440" w:right="1440" w:bottom="1440" w:left="1435" w:header="1440" w:footer="1440" w:gutter="0"/>
          <w:cols w:space="720"/>
          <w:noEndnote/>
        </w:sectPr>
      </w:pPr>
    </w:p>
    <w:p w:rsidR="00800BE7" w:rsidRDefault="00800BE7">
      <w:pPr>
        <w:widowControl/>
        <w:ind w:left="1440" w:firstLine="720"/>
        <w:jc w:val="both"/>
      </w:pPr>
      <w:r>
        <w:lastRenderedPageBreak/>
        <w:t>The U.S. District Court rejected the request, stating that the govern</w:t>
      </w:r>
      <w:r>
        <w:softHyphen/>
        <w:t>ment had not shown that the information was not available through other sources.  The court stated that, if the government renewed its petition, it should be prepared to show that a John Doe summons can be issued on a sovereign state.</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720" w:hanging="720"/>
        <w:jc w:val="both"/>
      </w:pPr>
      <w:r>
        <w:rPr>
          <w:b/>
          <w:bCs/>
        </w:rPr>
        <w:fldChar w:fldCharType="begin"/>
      </w:r>
      <w:r w:rsidR="00800BE7">
        <w:rPr>
          <w:b/>
          <w:bCs/>
        </w:rPr>
        <w:instrText>LISTNUM Outline \l 1</w:instrText>
      </w:r>
      <w:r>
        <w:rPr>
          <w:b/>
          <w:bCs/>
        </w:rPr>
        <w:fldChar w:fldCharType="end"/>
      </w:r>
      <w:r w:rsidR="00800BE7">
        <w:rPr>
          <w:b/>
          <w:bCs/>
        </w:rPr>
        <w:tab/>
        <w:t>GENERATION</w:t>
      </w:r>
      <w:r w:rsidR="00800BE7">
        <w:rPr>
          <w:b/>
          <w:bCs/>
        </w:rPr>
        <w:noBreakHyphen/>
        <w:t>SKIPPING TRANSFER TAXES</w:t>
      </w:r>
      <w:r>
        <w:fldChar w:fldCharType="begin"/>
      </w:r>
      <w:r w:rsidR="00800BE7">
        <w:instrText>tc \l1 "</w:instrText>
      </w:r>
      <w:r w:rsidR="00800BE7">
        <w:rPr>
          <w:b/>
          <w:bCs/>
        </w:rPr>
        <w:instrText>Field result goes here</w:instrText>
      </w:r>
      <w:r w:rsidR="00800BE7">
        <w:rPr>
          <w:b/>
          <w:bCs/>
        </w:rPr>
        <w:tab/>
        <w:instrText>GENERATION</w:instrText>
      </w:r>
      <w:r w:rsidR="00800BE7">
        <w:rPr>
          <w:b/>
          <w:bCs/>
        </w:rPr>
        <w:noBreakHyphen/>
        <w:instrText>SKIPPING TRANSFER TAXES</w:instrText>
      </w:r>
      <w:r>
        <w:fldChar w:fldCharType="end"/>
      </w:r>
    </w:p>
    <w:p w:rsidR="00800BE7" w:rsidRDefault="00800BE7">
      <w:pPr>
        <w:keepNext/>
        <w:keepLines/>
        <w:widowControl/>
        <w:jc w:val="both"/>
      </w:pPr>
    </w:p>
    <w:p w:rsidR="00800BE7" w:rsidRDefault="00BC7053">
      <w:pPr>
        <w:keepNext/>
        <w:keepLines/>
        <w:widowControl/>
        <w:ind w:firstLine="720"/>
        <w:jc w:val="both"/>
      </w:pPr>
      <w:r>
        <w:rPr>
          <w:b/>
          <w:bCs/>
        </w:rPr>
        <w:fldChar w:fldCharType="begin"/>
      </w:r>
      <w:r w:rsidR="00800BE7">
        <w:rPr>
          <w:b/>
          <w:bCs/>
        </w:rPr>
        <w:instrText>LISTNUM Outline \l 2 \s 1</w:instrText>
      </w:r>
      <w:r>
        <w:rPr>
          <w:b/>
          <w:bCs/>
        </w:rPr>
        <w:fldChar w:fldCharType="end"/>
      </w:r>
      <w:r w:rsidR="00800BE7">
        <w:rPr>
          <w:b/>
          <w:bCs/>
        </w:rPr>
        <w:tab/>
        <w:t>Code § 2601.  Effective Date Protection</w:t>
      </w:r>
      <w:r>
        <w:fldChar w:fldCharType="begin"/>
      </w:r>
      <w:r w:rsidR="00800BE7">
        <w:instrText>tc \l2 "</w:instrText>
      </w:r>
      <w:r w:rsidR="00800BE7">
        <w:rPr>
          <w:b/>
          <w:bCs/>
        </w:rPr>
        <w:instrText>Field result goes here</w:instrText>
      </w:r>
      <w:r w:rsidR="00800BE7">
        <w:rPr>
          <w:b/>
          <w:bCs/>
        </w:rPr>
        <w:tab/>
        <w:instrText>Code § 2601.  Effective Date Protection</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General Power of Appointment Eliminates Effective Date Protection for Generation-Skipping Trust.  </w:t>
      </w:r>
      <w:r w:rsidR="00800BE7">
        <w:rPr>
          <w:b/>
          <w:bCs/>
          <w:i/>
          <w:iCs/>
        </w:rPr>
        <w:t>Estate of Timken v. United States</w:t>
      </w:r>
      <w:r w:rsidR="00800BE7">
        <w:rPr>
          <w:b/>
          <w:bCs/>
        </w:rPr>
        <w:t>, 601 F.3d 431 (6</w:t>
      </w:r>
      <w:r w:rsidR="00800BE7">
        <w:rPr>
          <w:b/>
          <w:bCs/>
          <w:vertAlign w:val="superscript"/>
        </w:rPr>
        <w:t>th</w:t>
      </w:r>
      <w:r w:rsidR="00800BE7">
        <w:rPr>
          <w:b/>
          <w:bCs/>
        </w:rPr>
        <w:t xml:space="preserve"> Cir. April 2, 2010), </w:t>
      </w:r>
      <w:r w:rsidR="00800BE7">
        <w:rPr>
          <w:b/>
          <w:bCs/>
          <w:i/>
          <w:iCs/>
        </w:rPr>
        <w:t xml:space="preserve">aff’g </w:t>
      </w:r>
      <w:r w:rsidR="00800BE7">
        <w:rPr>
          <w:b/>
          <w:bCs/>
        </w:rPr>
        <w:t>630 F.Supp.2d 823 (N.D. Ohio, 2009),</w:t>
      </w:r>
      <w:r w:rsidR="00800BE7">
        <w:rPr>
          <w:b/>
          <w:bCs/>
          <w:i/>
          <w:iCs/>
        </w:rPr>
        <w:t xml:space="preserve"> cert. denied</w:t>
      </w:r>
      <w:r w:rsidR="00800BE7">
        <w:rPr>
          <w:b/>
          <w:bCs/>
        </w:rPr>
        <w:t>, 131 S.Ct. 905, 2011 WL 55405, 79 USLW 3149, 79 USLW 3394, 79 USLW 3399 (Jan. 10, 2011)</w:t>
      </w:r>
      <w:r>
        <w:fldChar w:fldCharType="begin"/>
      </w:r>
      <w:r w:rsidR="00800BE7">
        <w:instrText>tc \l3 "</w:instrText>
      </w:r>
      <w:r w:rsidR="00800BE7">
        <w:rPr>
          <w:b/>
          <w:bCs/>
        </w:rPr>
        <w:instrText xml:space="preserve">General Power of Appointment Eliminates Effective Date Protection for Generation-Skipping Trust.  </w:instrText>
      </w:r>
      <w:r w:rsidR="00800BE7">
        <w:rPr>
          <w:b/>
          <w:bCs/>
          <w:i/>
          <w:iCs/>
        </w:rPr>
        <w:instrText>Estate of Timken v. United States</w:instrText>
      </w:r>
      <w:r w:rsidR="00800BE7">
        <w:rPr>
          <w:b/>
          <w:bCs/>
        </w:rPr>
        <w:instrText>, 601 F.3d 431 (6</w:instrText>
      </w:r>
      <w:r w:rsidR="00800BE7">
        <w:rPr>
          <w:b/>
          <w:bCs/>
          <w:vertAlign w:val="superscript"/>
        </w:rPr>
        <w:instrText>th</w:instrText>
      </w:r>
      <w:r w:rsidR="00800BE7">
        <w:rPr>
          <w:b/>
          <w:bCs/>
        </w:rPr>
        <w:instrText xml:space="preserve"> Cir. April 2, 2010), </w:instrText>
      </w:r>
      <w:r w:rsidR="00800BE7">
        <w:rPr>
          <w:b/>
          <w:bCs/>
          <w:i/>
          <w:iCs/>
        </w:rPr>
        <w:instrText xml:space="preserve">aff’g </w:instrText>
      </w:r>
      <w:r w:rsidR="00800BE7">
        <w:rPr>
          <w:b/>
          <w:bCs/>
        </w:rPr>
        <w:instrText>630 F.Supp.2d 823 (N.D. Ohio, 2009),</w:instrText>
      </w:r>
      <w:r w:rsidR="00800BE7">
        <w:rPr>
          <w:b/>
          <w:bCs/>
          <w:i/>
          <w:iCs/>
        </w:rPr>
        <w:instrText xml:space="preserve"> cert. denied</w:instrText>
      </w:r>
      <w:r w:rsidR="00800BE7">
        <w:rPr>
          <w:b/>
          <w:bCs/>
        </w:rPr>
        <w:instrText>, 131 S.Ct. 905, 2011 WL 55405, 79 USLW 3149, 79 USLW 3394, 79 USLW 3399 (Jan. 10, 2011)</w:instrText>
      </w:r>
      <w:r>
        <w:fldChar w:fldCharType="end"/>
      </w:r>
    </w:p>
    <w:p w:rsidR="00800BE7" w:rsidRDefault="00800BE7">
      <w:pPr>
        <w:keepNext/>
        <w:keepLines/>
        <w:widowControl/>
        <w:jc w:val="both"/>
      </w:pPr>
    </w:p>
    <w:p w:rsidR="00800BE7" w:rsidRDefault="00800BE7">
      <w:pPr>
        <w:keepLines/>
        <w:widowControl/>
        <w:ind w:left="2160"/>
        <w:jc w:val="both"/>
      </w:pPr>
      <w:r>
        <w:t>Henry H. Timken, Jr. left a marital trust at his death in 1968, directing that the income be paid to the decedent, his widow, Louise Blyth Timken, and giving her a testamentary general power of appointment over the trust assets.  In default of the exercise of the power of appointment, the trust assets would be used to pay the estate tax portion due to the inclusion of the trust in the decedent’s estate, and the remaining trust assets would be divided and placed in separate trusts for the grantor’s nieces and nephews and for the children of any deceased niece or nephew.  Louise died in 1998 without exercising her power of appointment.  Some of the nieces and nephews disclaimed their shares, and these shares were divided equally among the grantor’s grandnieces and grandnephews.</w:t>
      </w:r>
    </w:p>
    <w:p w:rsidR="00800BE7" w:rsidRDefault="00800BE7">
      <w:pPr>
        <w:widowControl/>
        <w:ind w:left="2160" w:firstLine="720"/>
        <w:jc w:val="both"/>
      </w:pPr>
      <w:r>
        <w:t>The IRS, relying on a 1998 version of the regulations, treated the lapse of the decedent’s general power of appointment as a constructive addition to the trust, rendering the 1968 trust subject to the GST taxes.  Treas. Reg. § 26.2601</w:t>
      </w:r>
      <w:r>
        <w:noBreakHyphen/>
        <w:t>1(b)(1)(v)(A) (1998).  The IRS assessed a $4 million GST tax deficiency.  The estate paid the tax and sued for a refund.</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U.S. District Court for the Northern District of Ohio (Judge Adams) held that the 1998 effective date regulations were a valid construction of an ambiguous statute, and that the lapse of the decedent’s general power of appointment was a constructive addition to the 1968 trust, so that the distributions to grandnieces and grandnephews were subject to the GST tax.  The district court relied principally on </w:t>
      </w:r>
      <w:r>
        <w:rPr>
          <w:i/>
          <w:iCs/>
        </w:rPr>
        <w:t>Estate of Gerson v. Comm’r</w:t>
      </w:r>
      <w:r>
        <w:t xml:space="preserve">, 127 T.C. 139 (2006), </w:t>
      </w:r>
      <w:r>
        <w:rPr>
          <w:i/>
          <w:iCs/>
        </w:rPr>
        <w:t>aff’d</w:t>
      </w:r>
      <w:r>
        <w:t xml:space="preserve">, 507 F.3d 435 (6th Cir. 2007), </w:t>
      </w:r>
      <w:r>
        <w:rPr>
          <w:i/>
          <w:iCs/>
        </w:rPr>
        <w:t>cert. denied sub nom.</w:t>
      </w:r>
      <w:r>
        <w:t xml:space="preserve"> </w:t>
      </w:r>
      <w:r>
        <w:rPr>
          <w:i/>
          <w:iCs/>
        </w:rPr>
        <w:t xml:space="preserve">Kleinman v. </w:t>
      </w:r>
      <w:r>
        <w:rPr>
          <w:i/>
          <w:iCs/>
        </w:rPr>
        <w:lastRenderedPageBreak/>
        <w:t>Comm’r</w:t>
      </w:r>
      <w:r>
        <w:t>, 533 U.S. 1076 (2008), where the Sixth Circuit held that the effective date provision was ambiguous when applied to a transfer resulting from the exercise of a general power of appointment under a pre</w:t>
      </w:r>
      <w:r>
        <w:noBreakHyphen/>
        <w:t xml:space="preserve">1985 irrevocable trust.  The Sixth Circuit in </w:t>
      </w:r>
      <w:r>
        <w:rPr>
          <w:i/>
          <w:iCs/>
        </w:rPr>
        <w:t>Gerson</w:t>
      </w:r>
      <w:r>
        <w:t xml:space="preserve"> held that the regulations that had been amended in 1999 were a reasonable interpretation of the statute and entitled to deference under </w:t>
      </w:r>
      <w:r>
        <w:rPr>
          <w:i/>
          <w:iCs/>
        </w:rPr>
        <w:t>Chevron, U.S.A., Inc. v. Natural Resources Defense Council, Inc.</w:t>
      </w:r>
      <w:r>
        <w:t xml:space="preserve">, 467 U.S. 837 (1984).  The district court agreed that the 1999 amendment to the regulations on which the Sixth Circuit had opined in </w:t>
      </w:r>
      <w:r>
        <w:rPr>
          <w:i/>
          <w:iCs/>
        </w:rPr>
        <w:t>Gerson</w:t>
      </w:r>
      <w:r>
        <w:t xml:space="preserve"> did not apply to the Timkin trust, but held that </w:t>
      </w:r>
      <w:r>
        <w:rPr>
          <w:i/>
          <w:iCs/>
        </w:rPr>
        <w:t xml:space="preserve">Gerson </w:t>
      </w:r>
      <w:r>
        <w:t xml:space="preserve">established the ambiguity of the statute and that under the 1998 regulations reached the same conclusion in a reasonable interpretation of the statute.  The court also rejected an attempt to distinguish between the lapse and the exercise of a general power of appointment, finding that the </w:t>
      </w:r>
      <w:r>
        <w:rPr>
          <w:i/>
          <w:iCs/>
        </w:rPr>
        <w:t>Gerson</w:t>
      </w:r>
      <w:r>
        <w:t xml:space="preserve"> court had held that the lapse, exercise or release of a general power of appointment should all be treated identically for GST tax purposes.</w:t>
      </w:r>
    </w:p>
    <w:p w:rsidR="00800BE7" w:rsidRDefault="00800BE7">
      <w:pPr>
        <w:widowControl/>
        <w:ind w:left="2160" w:firstLine="720"/>
        <w:jc w:val="both"/>
      </w:pPr>
      <w:r>
        <w:t>The Sixth Circuit (Judge Rogers) affirmed, holding that the statute was still ambiguous and that the 1998 regulations construed it reasonably. The court noted that Section 2601 is ambiguous because it does not state whether a transfer under a general power of appointment created as part of a trust that was irrevocable on September 25, 1985, is itself a transfer under that trust or a transfer under the power of appointment.  The 1998 regulations stated, in applicable part, that:</w:t>
      </w:r>
    </w:p>
    <w:p w:rsidR="00800BE7" w:rsidRDefault="00800BE7">
      <w:pPr>
        <w:widowControl/>
        <w:jc w:val="both"/>
      </w:pPr>
    </w:p>
    <w:p w:rsidR="00800BE7" w:rsidRDefault="00800BE7">
      <w:pPr>
        <w:widowControl/>
        <w:ind w:left="2880" w:right="720"/>
        <w:jc w:val="both"/>
      </w:pPr>
      <w:r>
        <w:t>[W]here any portion of a trust remains in the trust after the post</w:t>
      </w:r>
      <w:r>
        <w:noBreakHyphen/>
        <w:t xml:space="preserve"> September 25, 1985, release, exercise, or lapse of a power of appointment over that portion of the trust, and the release, exercise, or lapse is treated to any extent as a taxable transfer under chapter 11 or chapter 12, the value of the entire portion of the trust subject to the power that was released, exercised or lapsed is treated as if that portion had been withdrawn and immediately retransferred to the trust at the time of the release, exercise or lapse.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jc w:val="both"/>
      </w:pPr>
      <w:r>
        <w:lastRenderedPageBreak/>
        <w:t>Treas. Reg. § 26.2601</w:t>
      </w:r>
      <w:r>
        <w:noBreakHyphen/>
        <w:t xml:space="preserve">1(b)(1)(v)(A) (1998).  These regulations, the court stated, treat a general power of appointment the same as outright ownership, consistent with treatment of general powers of appointment in other tax code provisions.  Under </w:t>
      </w:r>
      <w:r>
        <w:rPr>
          <w:i/>
          <w:iCs/>
        </w:rPr>
        <w:t>Chevron</w:t>
      </w:r>
      <w:r>
        <w:t>, therefore, the regulations were entitled to defer</w:t>
      </w:r>
      <w:r>
        <w:softHyphen/>
        <w:t xml:space="preserve">ence.  The court rejected the decisions of the Eighth and Ninth Circuits in </w:t>
      </w:r>
      <w:r>
        <w:rPr>
          <w:i/>
          <w:iCs/>
        </w:rPr>
        <w:t>Bachler v. United States</w:t>
      </w:r>
      <w:r>
        <w:t xml:space="preserve">, 281 F.3d 1078 (9th Cir. 2002), </w:t>
      </w:r>
      <w:r>
        <w:rPr>
          <w:i/>
          <w:iCs/>
        </w:rPr>
        <w:t>rev’g</w:t>
      </w:r>
      <w:r>
        <w:t xml:space="preserve"> 126 F.Supp.2d 1279 (N.D. Ca. </w:t>
      </w:r>
      <w:r>
        <w:lastRenderedPageBreak/>
        <w:t xml:space="preserve">2000), and </w:t>
      </w:r>
      <w:r>
        <w:rPr>
          <w:i/>
          <w:iCs/>
        </w:rPr>
        <w:t>Simpson v. United States</w:t>
      </w:r>
      <w:r>
        <w:t xml:space="preserve">, 183 F.3d 812 (8th Cir. 1999), which held that Section 2601 was unambiguous with respect to exercises of general powers of appointment.  Rather, as it had done in </w:t>
      </w:r>
      <w:r>
        <w:rPr>
          <w:i/>
          <w:iCs/>
        </w:rPr>
        <w:t>Gerson</w:t>
      </w:r>
      <w:r>
        <w:t xml:space="preserve">, the court sided with the Second Circuit’s decision in </w:t>
      </w:r>
      <w:r>
        <w:rPr>
          <w:i/>
          <w:iCs/>
        </w:rPr>
        <w:t>Peterson Marital Trust v. Comm’r</w:t>
      </w:r>
      <w:r>
        <w:t xml:space="preserve">, 102 T.C. 790 (1994), </w:t>
      </w:r>
      <w:r>
        <w:rPr>
          <w:i/>
          <w:iCs/>
        </w:rPr>
        <w:t xml:space="preserve">aff’d </w:t>
      </w:r>
      <w:r>
        <w:t>78 F.3d 795 (2nd Cir. 1996), 78 F.3d 795 (2d Cir. 1996), which stated that the reference to “corpus added to the trust” was inherently ambiguous in the context of the lapse of a general power of appointment.</w:t>
      </w:r>
    </w:p>
    <w:p w:rsidR="00800BE7" w:rsidRDefault="00800BE7">
      <w:pPr>
        <w:widowControl/>
        <w:ind w:left="2160" w:firstLine="720"/>
        <w:jc w:val="both"/>
      </w:pPr>
      <w:r>
        <w:rPr>
          <w:b/>
          <w:bCs/>
        </w:rPr>
        <w:t>Note.</w:t>
      </w:r>
      <w:r>
        <w:t xml:space="preserve">  The Sixth Circuit is the only court to review the regula</w:t>
      </w:r>
      <w:r>
        <w:softHyphen/>
        <w:t xml:space="preserve">tions after their 1999 amendment, but it appears not to believe that the 1999 changes materially enhanced the regulations.  The deference due to regulations under </w:t>
      </w:r>
      <w:r>
        <w:rPr>
          <w:i/>
          <w:iCs/>
        </w:rPr>
        <w:t>Chevron</w:t>
      </w:r>
      <w:r>
        <w:t xml:space="preserve"> makes it extraordinarily difficult to overturn them, and practitioners faced with a pre-September 25, 1985 irrevocable trust that creates a general power of appointment should advise the holder of the power to consider not appointing the assets to a skip-person.  Rather, the tax can be deferred by appointing the assets to a trust in which both skip-persons and nonskip-persons have beneficial interests, so that no GST tax is currently imposed.</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Adds GST Tax Consequences of Decanting to No-Ruling List.  Rev. Proc. 2011-3, 2011-1 I.R.B. 111 (Jan. 3, 2011)</w:t>
      </w:r>
      <w:r>
        <w:rPr>
          <w:b/>
          <w:bCs/>
        </w:rPr>
        <w:fldChar w:fldCharType="begin"/>
      </w:r>
      <w:r w:rsidR="00800BE7">
        <w:rPr>
          <w:b/>
          <w:bCs/>
        </w:rPr>
        <w:instrText>tc \l3 "Field result goes here</w:instrText>
      </w:r>
      <w:r w:rsidR="00800BE7">
        <w:rPr>
          <w:b/>
          <w:bCs/>
        </w:rPr>
        <w:tab/>
        <w:instrText>IRS Adds GST Tax Consequences of Decanting to No-Ruling List.  Rev. Proc. 2011-3, 2011-1 I.R.B. 111 (Jan. 3,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The IRS added to its no-rulings list the question of whether decanting that results in a change in beneficial interests causes a loss of GST-exempt status or constitutes a taxable termination or taxable distribu</w:t>
      </w:r>
      <w:r>
        <w:softHyphen/>
        <w:t>tion under Section 2612. This issue is designated one that is currently under study.</w:t>
      </w:r>
    </w:p>
    <w:p w:rsidR="00800BE7" w:rsidRDefault="00800BE7">
      <w:pPr>
        <w:widowControl/>
        <w:ind w:left="2160" w:firstLine="720"/>
        <w:jc w:val="both"/>
      </w:pPr>
      <w:r>
        <w:rPr>
          <w:b/>
          <w:bCs/>
        </w:rPr>
        <w:t>Note.</w:t>
      </w:r>
      <w:r>
        <w:t xml:space="preserve">  See also no-ruling position regarding the income tax consequences of decanting, discussed below, and the gift tax consequences of decanting, discussed above.</w:t>
      </w:r>
    </w:p>
    <w:p w:rsidR="00800BE7" w:rsidRDefault="00800BE7">
      <w:pPr>
        <w:widowControl/>
        <w:ind w:left="2160" w:firstLine="720"/>
        <w:jc w:val="both"/>
      </w:pPr>
      <w:r>
        <w:t>The IRS appears to be considering a formal ruling on the tax consequences of decanting.  In light of the growing popularity of decanting as a means of modifying the terms of an irrevocable trust, this is important news.  Whether it is good news or bad news depends upon the content of that ruling.</w:t>
      </w:r>
    </w:p>
    <w:p w:rsidR="00800BE7" w:rsidRDefault="00800BE7">
      <w:pPr>
        <w:widowControl/>
        <w:jc w:val="both"/>
      </w:pPr>
    </w:p>
    <w:p w:rsidR="00800BE7" w:rsidRDefault="00BC7053">
      <w:pPr>
        <w:keepNext/>
        <w:keepLines/>
        <w:widowControl/>
        <w:tabs>
          <w:tab w:val="left" w:pos="-1440"/>
        </w:tabs>
        <w:ind w:left="2160" w:hanging="720"/>
        <w:jc w:val="both"/>
        <w:rPr>
          <w:b/>
          <w:bCs/>
        </w:rPr>
      </w:pPr>
      <w:r>
        <w:rPr>
          <w:b/>
          <w:bCs/>
        </w:rPr>
        <w:fldChar w:fldCharType="begin"/>
      </w:r>
      <w:r w:rsidR="00800BE7">
        <w:rPr>
          <w:b/>
          <w:bCs/>
        </w:rPr>
        <w:instrText>LISTNUM Outline \l 3</w:instrText>
      </w:r>
      <w:r>
        <w:rPr>
          <w:b/>
          <w:bCs/>
        </w:rPr>
        <w:fldChar w:fldCharType="end"/>
      </w:r>
      <w:r w:rsidR="00800BE7">
        <w:rPr>
          <w:b/>
          <w:bCs/>
        </w:rPr>
        <w:tab/>
        <w:t>Early Partial Distribution to Remainder Beneficiaries Does Not Void GST Effective Date Protection.  PLR 201122007 (June 3, 2011)</w:t>
      </w:r>
      <w:r>
        <w:rPr>
          <w:b/>
          <w:bCs/>
        </w:rPr>
        <w:fldChar w:fldCharType="begin"/>
      </w:r>
      <w:r w:rsidR="00800BE7">
        <w:rPr>
          <w:b/>
          <w:bCs/>
        </w:rPr>
        <w:instrText>tc \l3 "Field result goes here</w:instrText>
      </w:r>
      <w:r w:rsidR="00800BE7">
        <w:rPr>
          <w:b/>
          <w:bCs/>
        </w:rPr>
        <w:tab/>
        <w:instrText>Early Partial Distribution to Remainder Beneficiaries Does Not Void GST Effective Date Protection.  PLR 201122007 (June 3, 2011)</w:instrText>
      </w:r>
      <w:r>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Grantor created a trust that was irrevocable on September 25, 1985, for the lifetime benefit of Taxpayer and then for distribution to Tax</w:t>
      </w:r>
      <w:r>
        <w:softHyphen/>
        <w:t xml:space="preserve">payer’s three issue, </w:t>
      </w:r>
      <w:r>
        <w:rPr>
          <w:i/>
          <w:iCs/>
        </w:rPr>
        <w:t>per stirpes</w:t>
      </w:r>
      <w:r>
        <w:t>.  The trust directs that income will be accumulated unless the trustee determined, in the trustee’s absolute discretion, that some or all of the income should be distributed to Taxpayer.  Taxpayer also has a limited testamentary power of appointment.  The trust instrument also states that the trustee may, in the trustee’s discretion, distribute principal for the income beneficiary’s health, support or maintenance.  Taxpayer and the Co-Trustee provided affidavits showing that (1) Taxpayer’s income and resources are sufficient to maintain her current standard of living for the remainder of her lifetime and any foreseeable emergencies; (2) Tax</w:t>
      </w:r>
      <w:r>
        <w:softHyphen/>
        <w:t>payer’s financial condition prevents her from receiving any income or principal from the trust pursuant to the terms of the trust; (3) Taxpayer has received no distributions from the trust in the past and does not anticipate any in the future; (4) distributions may be made to Taxpayer only in the case of emergency; and (5) from one year before Co-Trustee took office, no distributions had been made to Taxpayer.  Tax</w:t>
      </w:r>
      <w:r>
        <w:softHyphen/>
        <w:t>payer, the remainder beneficiaries, and Co</w:t>
      </w:r>
      <w:r>
        <w:noBreakHyphen/>
        <w:t>Trustee sought State court approval for an early distribution of a portion of the trust principal to the remainder beneficiaries (Taxpayer’s children).  The remainder of the principal will remain in Trust until Taxpayer’s death under the terms of Trust, which will benefit Taxpayer in the event of an emer</w:t>
      </w:r>
      <w:r>
        <w:softHyphen/>
        <w:t xml:space="preserve">gency and benefit the remainder beneficiaries as provided in Trust. </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The IRS ruled that Taxpayer will recognize no gain as a result of the early distribution of the trust principal to the remainder benefi</w:t>
      </w:r>
      <w:r>
        <w:softHyphen/>
        <w:t>ciaries, the trust will retain its GST exemption under the effective date rules, and Taxpayer will be deemed to have made a gift as a result to the early distribution of a portion of the trust principal to the remainder beneficiaries.  The distribution of trust assets would not result in a taxable disposition of Taxpayer’s interest in the trust because it was a gift without reciprocal consideration, and therefore, not a realization event.  Also, the IRS noted, there was no accession of wealth to Taxpayer or the trust.  The IRS also stated that the distribution did not interfere with the effective date protection afforded the trust under section 1433(b)(2)(A) of the Tax Reform Act of 1986 and Treas. Reg. § 26.2601</w:t>
      </w:r>
      <w:r>
        <w:noBreakHyphen/>
        <w:t xml:space="preserve">1(b)(1)(I).  The distribution is a “trustee action” and the court approval a “judicial reformation” that will not void the effective date protection, if it does not shift a beneficial interest in the trust to any beneficiary who occupies a lower generation than the person or persons who held the beneficial interest prior to the modification, and that does not extend the time for vesting of any beneficial interest in the trust beyond the period provided for in the original trust.  The IRS concluded that a state court order approving the early distribution of a portion of the trust principal to the remainder beneficiaries, will not </w:t>
      </w:r>
      <w:r>
        <w:lastRenderedPageBreak/>
        <w:t>shift any beneficial interest in the trust to a beneficiary who occupies a lower generation than Taxpayer or the current remainder beneficia</w:t>
      </w:r>
      <w:r>
        <w:softHyphen/>
        <w:t>ries, nor will it extend the time for vesting of any beneficial interest in the trust beyond the period provided for in the original instrument.  Finally, the IRS stated that there was a taxable gift by Taxpayer to the remainder beneficiaries.  The IRS noted that Taxpayer had an income interest entitling her to distributions of income in the case of emer</w:t>
      </w:r>
      <w:r>
        <w:softHyphen/>
        <w:t>gency and at the discretion of the trustee, and that while the value of that interest may be nominal, the value of a gift does not affect whether or not a gift is deemed to occur. The IRS would not rule on the value of the gift.</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2632.  Special Rules for Allocation of GST Exemption</w:t>
      </w:r>
      <w:r>
        <w:fldChar w:fldCharType="begin"/>
      </w:r>
      <w:r w:rsidR="00800BE7">
        <w:instrText>tc \l2 "</w:instrText>
      </w:r>
      <w:r w:rsidR="00800BE7">
        <w:rPr>
          <w:b/>
          <w:bCs/>
        </w:rPr>
        <w:instrText>Field result goes here</w:instrText>
      </w:r>
      <w:r w:rsidR="00800BE7">
        <w:rPr>
          <w:b/>
          <w:bCs/>
        </w:rPr>
        <w:tab/>
        <w:instrText>Code §§ 2632.  Special Rules for Allocation of GST Exemption</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IRS Provides a Particularly Good Illustration of the Operation of Both the Automatic and Individual Allocation Rules.  PLR 201115005 (April 15, 2011)</w:t>
      </w:r>
      <w:r>
        <w:fldChar w:fldCharType="begin"/>
      </w:r>
      <w:r w:rsidR="00800BE7">
        <w:instrText>tc \l3 "</w:instrText>
      </w:r>
      <w:r w:rsidR="00800BE7">
        <w:rPr>
          <w:b/>
          <w:bCs/>
        </w:rPr>
        <w:instrText>Field result goes here</w:instrText>
      </w:r>
      <w:r w:rsidR="00800BE7">
        <w:rPr>
          <w:b/>
          <w:bCs/>
        </w:rPr>
        <w:tab/>
        <w:instrText>IRS Provides a Particularly Good Illustration of the Operation of Both the Automatic and Individual Allocation Rules.  PLR 201115005 (April 15, 2011)</w:instrText>
      </w:r>
      <w:r>
        <w:fldChar w:fldCharType="end"/>
      </w:r>
    </w:p>
    <w:p w:rsidR="00800BE7" w:rsidRDefault="00800BE7">
      <w:pPr>
        <w:keepNext/>
        <w:keepLines/>
        <w:widowControl/>
        <w:jc w:val="both"/>
      </w:pPr>
    </w:p>
    <w:p w:rsidR="00800BE7" w:rsidRDefault="00800BE7">
      <w:pPr>
        <w:keepLines/>
        <w:widowControl/>
        <w:ind w:left="2160"/>
        <w:jc w:val="both"/>
      </w:pPr>
      <w:r>
        <w:t xml:space="preserve">Taxpayer 1 formed Trust, which directs distribution of income and corpus during Son’s lifetime, for the health, support, maintenance, and education of Son, Son’s wife, and Son’s then living issue.  After the youngest of Son’s then living children reaches age 22 and certain payments are made to Son’s issue, Son has an </w:t>
      </w:r>
      <w:r>
        <w:rPr>
          <w:i/>
          <w:iCs/>
        </w:rPr>
        <w:t xml:space="preserve">inter vivos </w:t>
      </w:r>
      <w:r>
        <w:t xml:space="preserve">limited power to appoint the trust corpus among Taxpayer 1’s issue and their spouses. On Son’s death, the unappointed trust funds are divided </w:t>
      </w:r>
      <w:r>
        <w:rPr>
          <w:i/>
          <w:iCs/>
        </w:rPr>
        <w:t xml:space="preserve">per stirpes </w:t>
      </w:r>
      <w:r>
        <w:t>among Son’s issue, to be held shares are to be held as separate trusts until each beneficiary reaches 35 years of age.  A beneficiary who dies before reaching 35 years of age has a testamen</w:t>
      </w:r>
      <w:r>
        <w:softHyphen/>
        <w:t>tary limited power to appoint trust corpus among Taxpayer 1’s issue.  The trust gives Son and each of his then-living issue a Crummey withdrawal right as to additions to the trust.  A person transferring assets to Trust may modify the withdrawal rights as to that gift.  In Year 1, Taxpayers 1 and 2 each transferred $V and later $W to the trust.  Son and his three children did not exercise their withdrawal rights over these transfers. Tax professionals hired by Taxpayers 1 and 2 prepared and timely filed gift tax returns, but no GST exemption was allocated to the portion of the taxpayers’ transfers represented by Son’s $Y withdrawal right.  Also, the returns did not report part of the transfers and did not allocate GST exemption to the unreported portions.  With respect to the taxpayers’ transfers represented by the withdrawal rights of Son’s children, the returns reflected: (1) an election under § 2632(c)(5)(A)(i)(II) to have the automatic allocation rules not apply to these transfers; (2) an allocation of their respective GST exemption equal to the amount of these transfers; and (3) a formula allocation of their respective GST exemption in an amount necessary to produce an inclusion ratio which was closest to or equal to zero.</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IRS ruled that Taxpayers 1 and 2 automatically allocated their respective GST exemption to the portion of their transfers represented by Son’s $Y withdrawal right as well as their transfers of that they did not report on their gift tax returns; and (2) that their respective GST exemption was timely allocated to the portion of their transfers represented by the withdrawal rights of Son’s children.  The IRS stated that the transfers Taxpayers 1 and 2 made to trust were indirect skips, under Section 2632(c)(3)(A) and Treas. Reg. § 26.2632 </w:t>
      </w:r>
      <w:r>
        <w:noBreakHyphen/>
        <w:t>1(b)(2)(i), so the GST exemption of Taxpayers 1 and 2 was automati</w:t>
      </w:r>
      <w:r>
        <w:softHyphen/>
      </w:r>
      <w:r>
        <w:lastRenderedPageBreak/>
        <w:t>cally allocated to the portion of their transfers represented by Son’s withdrawal right, effective as of the dates of transfer, and the unre</w:t>
      </w:r>
      <w:r>
        <w:softHyphen/>
        <w:t>ported transfers, effective as of the dates of transfers, pursuant to Treas. Reg. § 26.2632</w:t>
      </w:r>
      <w:r>
        <w:noBreakHyphen/>
        <w:t>1(b)(2)(i) (providing that the automatic allocation is effective whether or not a Form 709 is filed reporting the transfer, and is effective as of the date of the transfer to which it relates).  With respect to the portion of the taxpayers’ transfers represented by the withdrawal rights of Son’s children, Taxpayers 1 and 2 elected to have the Section 2632(c)(1) automatic allocation rules not apply to these transfers on their respective gift tax returns.  Taxpayers, however, timely allocated their GST exemption to these transfers on their gift tax returns in an amount equal to the amount of these transfers and by a formula designed to allocate as much GST exemption to these transfers as was necessary to produce an inclusion ratio which was closest to or equal to zero. These timely allocations were effective as of the dates of transfer pursuant to Treas. Reg. § 26.2632</w:t>
      </w:r>
      <w:r>
        <w:noBreakHyphen/>
        <w:t>1(b)(4)(ii)(A)(1).</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2642.  Inclusion Ratio</w:t>
      </w:r>
      <w:r>
        <w:fldChar w:fldCharType="begin"/>
      </w:r>
      <w:r w:rsidR="00800BE7">
        <w:instrText>tc \l2 "</w:instrText>
      </w:r>
      <w:r w:rsidR="00800BE7">
        <w:rPr>
          <w:b/>
          <w:bCs/>
        </w:rPr>
        <w:instrText>Field result goes here</w:instrText>
      </w:r>
      <w:r w:rsidR="00800BE7">
        <w:rPr>
          <w:b/>
          <w:bCs/>
        </w:rPr>
        <w:tab/>
        <w:instrText>Code § 2642.  Inclusion Ratio</w:instrText>
      </w:r>
      <w:r>
        <w:fldChar w:fldCharType="end"/>
      </w:r>
    </w:p>
    <w:p w:rsidR="00800BE7" w:rsidRDefault="00800BE7">
      <w:pPr>
        <w:keepNext/>
        <w:keepLines/>
        <w:widowControl/>
        <w:jc w:val="both"/>
      </w:pPr>
    </w:p>
    <w:p w:rsidR="00800BE7" w:rsidRDefault="00800BE7">
      <w:pPr>
        <w:keepNext/>
        <w:keepLines/>
        <w:widowControl/>
        <w:ind w:left="1440"/>
        <w:jc w:val="both"/>
      </w:pPr>
      <w:r>
        <w:rPr>
          <w:b/>
          <w:bCs/>
        </w:rPr>
        <w:t>President’s 2012 Budget Proposals Include 90-Year Limit on GST Inclusion Ratio.  Dept. of Treasury, “General Explanations of the Administration’s Fiscal Year 2012 Revenue Proposals” pp. 129-130 (Feb. 14, 2011)</w:t>
      </w:r>
      <w:r w:rsidR="00BC7053">
        <w:fldChar w:fldCharType="begin"/>
      </w:r>
      <w:r>
        <w:instrText>tc \l3 "</w:instrText>
      </w:r>
      <w:r>
        <w:rPr>
          <w:b/>
          <w:bCs/>
        </w:rPr>
        <w:instrText>President’s 2012 Budget Proposals Include 90-Year Limit on GST Inclusion Ratio.  Dept. of Treasury, “General Explanations of the Administration’s Fiscal Year 2012 Revenue Proposals” pp. 129-130 (Feb. 14, 2011)</w:instrText>
      </w:r>
      <w:r w:rsidR="00BC7053">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1440"/>
        <w:jc w:val="both"/>
      </w:pPr>
      <w:r>
        <w:lastRenderedPageBreak/>
        <w:t>The President’s 2012 budget proposals would provide that the allocation of GST exemption to a transfer protects that transfer from GST tax for no more than 90 years.  The Treasury explanation states that, on the 90th anniversary of the creation of a trust, the GST exclusion allocated to the trust would terminate and the inclusion ratio would move to one. Contributions to a trust from different grantors are already deemed to be held in a separate trusts under Section 2654(b), so each such separate trust would be subject to the same 90</w:t>
      </w:r>
      <w:r>
        <w:noBreakHyphen/>
        <w:t>year rule, measured from the date of the first contribution by the grantor of that separate trust.  The special rule for pour</w:t>
      </w:r>
      <w:r>
        <w:noBreakHyphen/>
        <w:t>over trusts under Section 2653(b)(2) would continue to apply to pour</w:t>
      </w:r>
      <w:r>
        <w:noBreakHyphen/>
        <w:t>over trusts and to trusts created under a decanting authority, and for purposes of this rule, such trusts will be deemed to have the same creation date as the initial trust, with one exception.  If trust property is distributed to a trust for a beneficiary of the initial trust during the initial 90-year period, and the distributee trust is as described in Section 2642(c)(2), the inclusion ratio of the distributee trust will not be changed to one (with regard to the distribution from the initial trust) by reason of this rule.  This exception is intended to permit an incapacitated beneficiary's distribution to continue to be held in trust without incurring GST tax on distributions to the beneficiary as long as that trust is to be used for the sole benefit of that beneficiary and any trust balance remaining on the beneficiary's death will be included in the beneficiary's gross estate for Federal estate tax purposes.  The other rules of Section 2653 also would continue to apply, and would be relevant in determining when a taxable distribution or taxable termination occurs after the 90th anniversary of the trust. An express grant of regulatory authority would be included to facilitate the implementation and administration of this provision.  This proposal would apply to trusts created after enactment, and to the portion of a pre</w:t>
      </w:r>
      <w:r>
        <w:noBreakHyphen/>
        <w:t>existing trust attributable to additions to such a trust made after that date (subject to rules substantially similar to the grandfather rules currently in effect for additions to trusts created prior to the effective date of the GST tax).</w:t>
      </w:r>
    </w:p>
    <w:p w:rsidR="00800BE7" w:rsidRDefault="00800BE7">
      <w:pPr>
        <w:widowControl/>
        <w:jc w:val="both"/>
      </w:pPr>
    </w:p>
    <w:p w:rsidR="00800BE7" w:rsidRDefault="00800BE7">
      <w:pPr>
        <w:widowControl/>
        <w:jc w:val="both"/>
      </w:pPr>
    </w:p>
    <w:p w:rsidR="00800BE7" w:rsidRDefault="00BC7053">
      <w:pPr>
        <w:keepNext/>
        <w:keepLines/>
        <w:widowControl/>
        <w:jc w:val="both"/>
      </w:pPr>
      <w:r>
        <w:rPr>
          <w:b/>
          <w:bCs/>
        </w:rPr>
        <w:lastRenderedPageBreak/>
        <w:fldChar w:fldCharType="begin"/>
      </w:r>
      <w:r w:rsidR="00800BE7">
        <w:rPr>
          <w:b/>
          <w:bCs/>
        </w:rPr>
        <w:instrText>LISTNUM Outline \l 1</w:instrText>
      </w:r>
      <w:r>
        <w:rPr>
          <w:b/>
          <w:bCs/>
        </w:rPr>
        <w:fldChar w:fldCharType="end"/>
      </w:r>
      <w:r w:rsidR="00800BE7">
        <w:rPr>
          <w:b/>
          <w:bCs/>
        </w:rPr>
        <w:tab/>
        <w:t>CHAPTER 14.  SPECIAL VALUATION RULES</w:t>
      </w:r>
      <w:r>
        <w:fldChar w:fldCharType="begin"/>
      </w:r>
      <w:r w:rsidR="00800BE7">
        <w:instrText>tc \l1 "</w:instrText>
      </w:r>
      <w:r w:rsidR="00800BE7">
        <w:rPr>
          <w:b/>
          <w:bCs/>
        </w:rPr>
        <w:instrText>Field result goes here</w:instrText>
      </w:r>
      <w:r w:rsidR="00800BE7">
        <w:rPr>
          <w:b/>
          <w:bCs/>
        </w:rPr>
        <w:tab/>
        <w:instrText>CHAPTER 14.  SPECIAL VALUATION RULES</w:instrText>
      </w:r>
      <w:r>
        <w:fldChar w:fldCharType="end"/>
      </w:r>
    </w:p>
    <w:p w:rsidR="00800BE7" w:rsidRDefault="00800BE7">
      <w:pPr>
        <w:keepNext/>
        <w:keepLines/>
        <w:widowControl/>
        <w:jc w:val="both"/>
      </w:pPr>
    </w:p>
    <w:p w:rsidR="00800BE7" w:rsidRDefault="00BC7053">
      <w:pPr>
        <w:keepNext/>
        <w:keepLines/>
        <w:widowControl/>
        <w:tabs>
          <w:tab w:val="left" w:pos="-1440"/>
        </w:tabs>
        <w:ind w:left="1440" w:hanging="720"/>
        <w:jc w:val="both"/>
      </w:pPr>
      <w:r>
        <w:rPr>
          <w:b/>
          <w:bCs/>
        </w:rPr>
        <w:fldChar w:fldCharType="begin"/>
      </w:r>
      <w:r w:rsidR="00800BE7">
        <w:rPr>
          <w:b/>
          <w:bCs/>
        </w:rPr>
        <w:instrText>LISTNUM Outline \l 2 \s 1</w:instrText>
      </w:r>
      <w:r>
        <w:rPr>
          <w:b/>
          <w:bCs/>
        </w:rPr>
        <w:fldChar w:fldCharType="end"/>
      </w:r>
      <w:r w:rsidR="00800BE7">
        <w:rPr>
          <w:b/>
          <w:bCs/>
        </w:rPr>
        <w:tab/>
        <w:t>Code § 2702.  Trusts with Reserved Interests</w:t>
      </w:r>
      <w:r>
        <w:fldChar w:fldCharType="begin"/>
      </w:r>
      <w:r w:rsidR="00800BE7">
        <w:instrText>tc \l2 "</w:instrText>
      </w:r>
      <w:r w:rsidR="00800BE7">
        <w:rPr>
          <w:b/>
          <w:bCs/>
        </w:rPr>
        <w:instrText>Field result goes here</w:instrText>
      </w:r>
      <w:r w:rsidR="00800BE7">
        <w:rPr>
          <w:b/>
          <w:bCs/>
        </w:rPr>
        <w:tab/>
        <w:instrText>Code § 2702.  Trusts with Reserved Interests</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Treasury 2011 Budget Proposal and Several 2010 Bills Would Require 10-Year Term for GRATs and Eliminate Zero-Gift GRATs. Dept. of Treasury, “General Explanations of the Administration’s Fiscal Year 2012 Revenue Proposals” p. 128 (Feb. 14, 2011); S.1286, 112</w:t>
      </w:r>
      <w:r w:rsidR="00800BE7">
        <w:rPr>
          <w:b/>
          <w:bCs/>
          <w:vertAlign w:val="superscript"/>
        </w:rPr>
        <w:t>th</w:t>
      </w:r>
      <w:r w:rsidR="00800BE7">
        <w:rPr>
          <w:b/>
          <w:bCs/>
        </w:rPr>
        <w:t xml:space="preserve"> Cong., 1</w:t>
      </w:r>
      <w:r w:rsidR="00800BE7">
        <w:rPr>
          <w:b/>
          <w:bCs/>
          <w:vertAlign w:val="superscript"/>
        </w:rPr>
        <w:t>st</w:t>
      </w:r>
      <w:r w:rsidR="00800BE7">
        <w:rPr>
          <w:b/>
          <w:bCs/>
        </w:rPr>
        <w:t xml:space="preserve"> Sess. (June 28, 2011).</w:t>
      </w:r>
      <w:r>
        <w:fldChar w:fldCharType="begin"/>
      </w:r>
      <w:r w:rsidR="00800BE7">
        <w:instrText>tc \l3 "</w:instrText>
      </w:r>
      <w:r w:rsidR="00800BE7">
        <w:rPr>
          <w:b/>
          <w:bCs/>
        </w:rPr>
        <w:instrText>Field result goes here</w:instrText>
      </w:r>
      <w:r w:rsidR="00800BE7">
        <w:rPr>
          <w:b/>
          <w:bCs/>
        </w:rPr>
        <w:tab/>
        <w:instrText>Treasury 2011 Budget Proposal and Several 2010 Bills Would Require 10-Year Term for GRATs and Eliminate Zero-Gift GRATs. Dept. of Treasury, “General Explanations of the Administration’s Fiscal Year 2012 Revenue Proposals” p. 128 (Feb. 14, 2011); S.1286, 112</w:instrText>
      </w:r>
      <w:r w:rsidR="00800BE7">
        <w:rPr>
          <w:b/>
          <w:bCs/>
          <w:vertAlign w:val="superscript"/>
        </w:rPr>
        <w:instrText>th</w:instrText>
      </w:r>
      <w:r w:rsidR="00800BE7">
        <w:rPr>
          <w:b/>
          <w:bCs/>
        </w:rPr>
        <w:instrText xml:space="preserve"> Cong., 1</w:instrText>
      </w:r>
      <w:r w:rsidR="00800BE7">
        <w:rPr>
          <w:b/>
          <w:bCs/>
          <w:vertAlign w:val="superscript"/>
        </w:rPr>
        <w:instrText>st</w:instrText>
      </w:r>
      <w:r w:rsidR="00800BE7">
        <w:rPr>
          <w:b/>
          <w:bCs/>
        </w:rPr>
        <w:instrText xml:space="preserve"> Sess. (June 28, 2011).</w:instrText>
      </w:r>
      <w:r>
        <w:fldChar w:fldCharType="end"/>
      </w:r>
    </w:p>
    <w:p w:rsidR="00800BE7" w:rsidRDefault="00800BE7">
      <w:pPr>
        <w:keepNext/>
        <w:keepLines/>
        <w:widowControl/>
        <w:jc w:val="both"/>
      </w:pPr>
    </w:p>
    <w:p w:rsidR="00800BE7" w:rsidRDefault="00800BE7">
      <w:pPr>
        <w:keepLines/>
        <w:widowControl/>
        <w:ind w:left="2160"/>
        <w:jc w:val="both"/>
      </w:pPr>
      <w:r>
        <w:t>The Treasury’s explanation of the Administration’s Fiscal Year 2011 budget includes proposals to limit seriously the utility of GRATs.  This proposal is included in the Ways and Means version of H.R. 4849, the Small Business and Infrastructure Jobs Tax Act of 2010, which passed the House of Representatives on March 24, 2010, but obtained little support in the Senate; H.R. 5486, which passed the House of Representatives on June 15, 2010; H.R. 5297, which passed the House of Representatives on June 17, 2010; H.R. 4899, which passed the House of Representatives on July 1, 2010; and S.1286, which was introduced in the Senate on June 28, 2011 and referred to the Senate Finance Committee.  This change in the law is estimated by the Staff of the Joint Committee on Taxation to raise $5.297 billion over 10 years.  The bills and proposals would make three major changes in the rules on GRATs.</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t>Minimum 10-Year Term.</w:t>
      </w:r>
      <w:r>
        <w:t xml:space="preserve">  The proposals would eliminate the use of short-term GRATs by requiring that all GRATs last for at least 10 years, thus tending to limit the use of GRATs to taxpayers who are either under 75 years of age and in average health, or above 75 years of age and in extraordinarily good health, so that the taxpayer has a life expectancy in excess of 10 years.  Older taxpayers would likely forego the use of GRATs in favor of installment sales to an intentional grantor trust, as a means of shifting a significant portion of the growth in the value of the transferred assets to selected donees.</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Eliminate Zero Gift GRATs.</w:t>
      </w:r>
      <w:r>
        <w:t xml:space="preserve">  The proposals would require that all GRATs have some minimum remainder interest.  The proposals do not state how much of a taxable gift would be required, and it may be just that the Treasury wants the GRAT creator to file a gift tax return that can be audited.</w:t>
      </w:r>
    </w:p>
    <w:p w:rsidR="00800BE7" w:rsidRDefault="00800BE7">
      <w:pPr>
        <w:widowControl/>
        <w:jc w:val="both"/>
        <w:rPr>
          <w:b/>
          <w:bCs/>
        </w:rPr>
      </w:pPr>
    </w:p>
    <w:p w:rsidR="00800BE7" w:rsidRDefault="00800BE7">
      <w:pPr>
        <w:widowControl/>
        <w:tabs>
          <w:tab w:val="left" w:pos="-1440"/>
        </w:tabs>
        <w:ind w:left="2880" w:hanging="720"/>
        <w:jc w:val="both"/>
      </w:pPr>
      <w:r>
        <w:rPr>
          <w:b/>
          <w:bCs/>
        </w:rPr>
        <w:t>·</w:t>
      </w:r>
      <w:r>
        <w:rPr>
          <w:b/>
          <w:bCs/>
        </w:rPr>
        <w:tab/>
        <w:t>Eliminate Decreasing GRATs.</w:t>
      </w:r>
      <w:r>
        <w:t xml:space="preserve">  The proposals would preclude the use of GRATs with decreasing annuity payments.  This is </w:t>
      </w:r>
      <w:r>
        <w:lastRenderedPageBreak/>
        <w:t>necessary to protect the required minimum term, but it also eliminates a good planning technique by which GRATs made very large payments in the first year and smaller payments in the second year, setting the stage for a more aggressive rolling schedule.</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Effective Date.</w:t>
      </w:r>
      <w:r>
        <w:t xml:space="preserve">  This proposals would apply to transfers after the date of enactment.</w:t>
      </w:r>
    </w:p>
    <w:p w:rsidR="00800BE7" w:rsidRDefault="00800BE7">
      <w:pPr>
        <w:widowControl/>
        <w:jc w:val="both"/>
      </w:pPr>
    </w:p>
    <w:p w:rsidR="00800BE7" w:rsidRDefault="00800BE7">
      <w:pPr>
        <w:widowControl/>
        <w:ind w:left="2160" w:firstLine="720"/>
        <w:jc w:val="both"/>
      </w:pPr>
      <w:r>
        <w:rPr>
          <w:b/>
          <w:bCs/>
        </w:rPr>
        <w:t xml:space="preserve">Note. </w:t>
      </w:r>
      <w:r>
        <w:t xml:space="preserve"> See also H.R. 4849 § 407, 111</w:t>
      </w:r>
      <w:r>
        <w:rPr>
          <w:vertAlign w:val="superscript"/>
        </w:rPr>
        <w:t>th</w:t>
      </w:r>
      <w:r>
        <w:t xml:space="preserve"> Cong., 2d Sess. (Passed House of Representatives, March 24, 2010); H.R. 4899, 111</w:t>
      </w:r>
      <w:r>
        <w:rPr>
          <w:vertAlign w:val="superscript"/>
        </w:rPr>
        <w:t>th</w:t>
      </w:r>
      <w:r>
        <w:t xml:space="preserve"> Cong., 2</w:t>
      </w:r>
      <w:r>
        <w:rPr>
          <w:vertAlign w:val="superscript"/>
        </w:rPr>
        <w:t>nd</w:t>
      </w:r>
      <w:r>
        <w:t xml:space="preserve"> Sess. (Passed House of Representatives July 1, 2010) H.R. 5486, 111</w:t>
      </w:r>
      <w:r>
        <w:rPr>
          <w:vertAlign w:val="superscript"/>
        </w:rPr>
        <w:t>th</w:t>
      </w:r>
      <w:r>
        <w:t xml:space="preserve"> Cong., 2</w:t>
      </w:r>
      <w:r>
        <w:rPr>
          <w:vertAlign w:val="superscript"/>
        </w:rPr>
        <w:t>nd</w:t>
      </w:r>
      <w:r>
        <w:t xml:space="preserve"> Sess. (Passed House of Representatives June 15, 2010); H.R. 5297, 111</w:t>
      </w:r>
      <w:r>
        <w:rPr>
          <w:vertAlign w:val="superscript"/>
        </w:rPr>
        <w:t>th</w:t>
      </w:r>
      <w:r>
        <w:t xml:space="preserve"> Cong., 2</w:t>
      </w:r>
      <w:r>
        <w:rPr>
          <w:vertAlign w:val="superscript"/>
        </w:rPr>
        <w:t>nd</w:t>
      </w:r>
      <w:r>
        <w:t xml:space="preserve"> Sess. (Passed House of Representatives June 17, 2010).</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Return QPRT Continues to be Sustained.  PLRs 201131006 (Aug. 5, 2011), 201129017 (July 22, 2011) and 201118014 (May 6, 2011)</w:t>
      </w:r>
      <w:r>
        <w:fldChar w:fldCharType="begin"/>
      </w:r>
      <w:r w:rsidR="00800BE7">
        <w:instrText>tc \l3 "</w:instrText>
      </w:r>
      <w:r w:rsidR="00800BE7">
        <w:rPr>
          <w:b/>
          <w:bCs/>
        </w:rPr>
        <w:instrText>Field result goes here</w:instrText>
      </w:r>
      <w:r w:rsidR="00800BE7">
        <w:rPr>
          <w:b/>
          <w:bCs/>
        </w:rPr>
        <w:tab/>
        <w:instrText>Return QPRT Continues to be Sustained.  PLRs 201131006 (Aug. 5, 2011), 201129017 (July 22, 2011) and 201118014 (May 6,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tabs>
          <w:tab w:val="left" w:pos="-1440"/>
        </w:tabs>
        <w:ind w:left="2880" w:hanging="720"/>
        <w:jc w:val="both"/>
      </w:pPr>
      <w:r>
        <w:rPr>
          <w:b/>
          <w:bCs/>
        </w:rPr>
        <w:lastRenderedPageBreak/>
        <w:t>·</w:t>
      </w:r>
      <w:r>
        <w:rPr>
          <w:b/>
          <w:bCs/>
        </w:rPr>
        <w:tab/>
        <w:t>PLRs 201131006 and 201129017.</w:t>
      </w:r>
      <w:r>
        <w:t xml:space="preserve">  Settlor assigned her interest in Residence to a QPRT, retaining a right to use the residence for X years.  At the end of that term, the trust assets will be held in trust for  descendants, until the death of the later to die of Settlor and Settlor’s spouse, when the assets will be distributed to Settlor’s descendants, </w:t>
      </w:r>
      <w:r>
        <w:rPr>
          <w:i/>
          <w:iCs/>
        </w:rPr>
        <w:t>per stirpes</w:t>
      </w:r>
      <w:r>
        <w:t>.  Settlor has four children.  Settlor, as trustee, together with the four children executed Modification to the trust, which grants each of Settlor’s children the power to appoint an equal share of the corpus of the trust to themselves, at the end of Settlor’s reserved use term.  Modification also states that, by unanimous agreement, the four daughters may modify Trust to give Settlor the right to use Residence for an additional term of years.  The children propose to exercise their power and restate Trust to grant Settlor the right to use Residence for Y years, after the expiration of the initial reserved use term.  This right is renew</w:t>
      </w:r>
      <w:r>
        <w:softHyphen/>
        <w:t>able at the accord of Settlor.</w:t>
      </w:r>
    </w:p>
    <w:p w:rsidR="00800BE7" w:rsidRDefault="00800BE7">
      <w:pPr>
        <w:widowControl/>
        <w:ind w:left="2880" w:firstLine="720"/>
        <w:jc w:val="both"/>
      </w:pPr>
      <w:r>
        <w:t>The IRS ruled that the granting of the term interest and the modification of the trust would create a valid QPRT for Settlor, if it complies with the requirements of the regs and has terms substantially similar to those in Rev. Proc. 2003-42, 2003</w:t>
      </w:r>
      <w:r>
        <w:noBreakHyphen/>
        <w:t xml:space="preserve">2 C.B. 993.  Therefore, the value of the children’s gift to Settlor determined under the traditional gift tax valuation rules, rather than under Sections 2702(a)(1) and 2702(a)(2).  The value of that gift would be the actuarial value of Settlor’s </w:t>
      </w:r>
      <w:r>
        <w:lastRenderedPageBreak/>
        <w:t>income interest in the trust.  The IRS declined to opine on the treatment of the trust under Section 2036(a).</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PLR 201118014.  </w:t>
      </w:r>
      <w:r>
        <w:t xml:space="preserve">Mother transferred Residence to a QPRT, reserving the use of residence for y years, with a contingent use interest to Spouse, if Mother dies during the reserved use term.  If Mother dies during the reserved use term and Spouse is not then-living, the remainder passes to Mother’s issue.  If Mother is still living when the reserved use term ends, the trust is to continue for the benefit of Mother’s issue, until Mother’s death or, if later, the death of Spouse.  Mother was the trustee. Mother has one child, Daughter, and she is currently married to Spouse.  Mother, Daughter and Spouse together executed Modification to the trust, providing that after the reserved use term, each of Mother’s then living children is granted the power to appoint an equal share of the trust fund to themselves, or by unanimous agreement, they may direct the trustee to amend and restate the terms of trust to give a term interest to Mother, Spouse, or both, as a gift from the children.  interest to Mother, Spouse, or both, as a gift by Mother’s children.  Daughter proposes now to exercise her power to grant Mother a term interest entitling Mother to occupy the residence for z years, after which the trust assets revert to Daughter.  If Mother dies during this term interest, and if Spouse is then living, Spouse receives the balance of the term interest. </w:t>
      </w:r>
    </w:p>
    <w:p w:rsidR="00800BE7" w:rsidRDefault="00800BE7">
      <w:pPr>
        <w:widowControl/>
        <w:tabs>
          <w:tab w:val="left" w:pos="-1440"/>
        </w:tabs>
        <w:ind w:left="288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The IRS stated that the transfer by Daughter to Mother would be a gift of a term interest in real estate, the value of which will be determined under the traditional gift tax valuation rules, rather than under Sections 2702(a)(1) and 2702(a)(2). The trust, after the exercise of Daughter’s power of appoint</w:t>
      </w:r>
      <w:r>
        <w:softHyphen/>
        <w:t>ment, will be a QPRT, if it complies with the requirements of the regs and has terms substantially similar to those in Rev. Proc. 2003-42, 2003</w:t>
      </w:r>
      <w:r>
        <w:noBreakHyphen/>
        <w:t>2 C.B. 993.  The IRS declined to opine on the treatment of the trust under Section 2036(a).</w:t>
      </w:r>
    </w:p>
    <w:p w:rsidR="00800BE7" w:rsidRDefault="00800BE7">
      <w:pPr>
        <w:widowControl/>
        <w:jc w:val="both"/>
      </w:pPr>
    </w:p>
    <w:p w:rsidR="00800BE7" w:rsidRDefault="00800BE7">
      <w:pPr>
        <w:widowControl/>
        <w:ind w:left="2160" w:firstLine="720"/>
        <w:jc w:val="both"/>
      </w:pPr>
      <w:r>
        <w:rPr>
          <w:b/>
          <w:bCs/>
        </w:rPr>
        <w:t>Note.</w:t>
      </w:r>
      <w:r>
        <w:t xml:space="preserve">  See also similar rulings in PLRs 201019012 (March 14, 2010), 201019007 (March 14, 2010), 201019006 (March 14, 2010), 201014004 (April 9, 2010), 201006012 (Feb. 12, 2010), 200935004 (Aug. 28, 2009); 200901019 (Jan. 2, 2009); 200848003 (Nov. 28, 2008), 200848007 (Nov. 28, 2008), 200848008 (Nov. 28, 2008).</w:t>
      </w:r>
    </w:p>
    <w:p w:rsidR="00800BE7" w:rsidRDefault="00800BE7">
      <w:pPr>
        <w:widowControl/>
        <w:ind w:left="2160" w:firstLine="720"/>
        <w:jc w:val="both"/>
      </w:pPr>
      <w:r>
        <w:t xml:space="preserve">This is an alternative approach to having the initial QPRT continue and having the trustee lease the residence to the original donor for a fair market rent.  This type of leaseback generally permits the original donor to continue residing in the residence, in exchange for the payment of a market rent, and should not result in the inclusion </w:t>
      </w:r>
      <w:r>
        <w:lastRenderedPageBreak/>
        <w:t xml:space="preserve">of the residence in the donor’s gross estate.  See </w:t>
      </w:r>
      <w:r>
        <w:rPr>
          <w:i/>
          <w:iCs/>
        </w:rPr>
        <w:t xml:space="preserve">Barlow v. Comm'r, </w:t>
      </w:r>
      <w:r>
        <w:t>55 T.C. 666 (1971); also PLRs 200822011 (May 30, 2008); 200825004 (June 20, 2008); and 199931028 (Aug. 9, 1999).  The most favorable attributes of the return QPRT are that, during times of very low interest rates, the gift is relatively small, and that it prevents the creation of a landlord/tenant relationship between child and parent or grandchild and grandparent.  Such relationships are distasteful to certain clients, and avoiding it may outweigh several disadvantages, in the minds of certain clients.</w:t>
      </w:r>
    </w:p>
    <w:p w:rsidR="00800BE7" w:rsidRDefault="00800BE7">
      <w:pPr>
        <w:widowControl/>
        <w:ind w:left="2160" w:firstLine="720"/>
        <w:jc w:val="both"/>
      </w:pPr>
      <w:r>
        <w:t>The first disadvantage of the return QPRT is its uncertainty.  The initial QPRTs in these rulings shared the fact that the remainder was to be distributed outright to the designated beneficiaries at the termination of the reserved use period.  The beneficiary then could decide whether or not to give the use of the residence back to the original donor.  This is important, because any requirement that the original donees retransfer the use of the residence to the donor, whether in the governing instrument or a collateral oral or written agreement, will cause the original donor to be deemed to have reserved the use of the residence for a term not ending before his or her lifetime.  In turn, this would cause the residence to be included in the donor’s gross estate.  The gift-back to the donor must be an separate and independent act.</w:t>
      </w:r>
    </w:p>
    <w:p w:rsidR="00800BE7" w:rsidRDefault="00800BE7">
      <w:pPr>
        <w:widowControl/>
        <w:ind w:left="2160" w:firstLine="720"/>
        <w:jc w:val="both"/>
      </w:pPr>
      <w:r>
        <w:t>The second disadvantage of this arrangement is that the IRS is likely to scrutinize the transaction carefully to assure that there is no express or implied agreement to retransfer the use of the residence to the original donor.  The courts have stated that a donor will be deemed to have reserved the use of the transferred property for life or a period that does not end during his or her lifetime, whether the agreement is a legally enforceable written contract or an unenforce</w:t>
      </w:r>
      <w:r>
        <w:softHyphen/>
        <w:t>able understanding predicated upon an undocumented conversation.</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The courts do, however, require more than just the actual continued use by the donor, though when the residence is owned by family members other than the donor’s spouse, the actual residence by the donor is strong evidence of such an agreement or understand</w:t>
      </w:r>
      <w:r>
        <w:softHyphen/>
        <w:t>ing.  In order to minimize the risk that the entire residence will be included in the deceased donor’s gross estate under Section 2036(a), the trust should distribute title to the beneficiaries at the end of the initial residence period.  The beneficiaries should then enter into a co-ownership agreement regarding the maintenance of the residence, and should maintain it and pay for all taxes, repairs, and other expenses (or rent it to someone other than the donor and have the tenant pay such items), for a reasonable period.</w:t>
      </w:r>
    </w:p>
    <w:p w:rsidR="00800BE7" w:rsidRDefault="00800BE7">
      <w:pPr>
        <w:widowControl/>
        <w:ind w:left="2160" w:firstLine="720"/>
        <w:jc w:val="both"/>
      </w:pPr>
      <w:r>
        <w:t xml:space="preserve">After a reasonable period of such rental or holding, the original beneficiaries can meet with counsel to discuss a gift back to the original donor.  They should have their own attorney, rather than using </w:t>
      </w:r>
      <w:r>
        <w:lastRenderedPageBreak/>
        <w:t>the donor’s attorney, and they should discuss and consider the gift tax and estate planning consequences of this arrangement.  The beneficiaries can then execute a new QPRT transferring a lifetime residential interest to the original donor.</w:t>
      </w:r>
    </w:p>
    <w:p w:rsidR="00800BE7" w:rsidRDefault="00800BE7">
      <w:pPr>
        <w:widowControl/>
        <w:ind w:left="2160" w:firstLine="720"/>
        <w:jc w:val="both"/>
      </w:pPr>
      <w:r>
        <w:t>There is no bright line test to determine how long a period is sufficient to render the gift back to the donor an independent transac</w:t>
      </w:r>
      <w:r>
        <w:softHyphen/>
        <w:t xml:space="preserve">tion.  In a different but analogous context, the Tax Court has stated that the step transaction doctrine will not be applied to the creation and funding of a partnership and gifts of partnership interests, to treat the entire transaction as a direct gift of interests in the underlying partnership assets, if the time between the first step (formation and funding) and the second step (gifts of partnership interests) is sufficient that, considering the nature of the assets in question, the donor held a genuine risk of economic gain or loss during this period.  See </w:t>
      </w:r>
      <w:r>
        <w:rPr>
          <w:i/>
          <w:iCs/>
        </w:rPr>
        <w:t>Holman, Jr. v. Comm’r</w:t>
      </w:r>
      <w:r>
        <w:t xml:space="preserve">, 130 T.C. 170 (2008), </w:t>
      </w:r>
      <w:r>
        <w:rPr>
          <w:i/>
          <w:iCs/>
        </w:rPr>
        <w:t>aff’d on other grounds</w:t>
      </w:r>
      <w:r>
        <w:t>, 601 F.3d 763 (8</w:t>
      </w:r>
      <w:r>
        <w:rPr>
          <w:vertAlign w:val="superscript"/>
        </w:rPr>
        <w:t>th</w:t>
      </w:r>
      <w:r>
        <w:t xml:space="preserve"> Cir. April 7, 2010); </w:t>
      </w:r>
      <w:r>
        <w:rPr>
          <w:i/>
          <w:iCs/>
        </w:rPr>
        <w:t>Gross v. Comm’r</w:t>
      </w:r>
      <w:r>
        <w:t xml:space="preserve">, T.C. Memo. 2008-221; and </w:t>
      </w:r>
      <w:r>
        <w:rPr>
          <w:i/>
          <w:iCs/>
        </w:rPr>
        <w:t>Estate of Mirowski v. Comm’r</w:t>
      </w:r>
      <w:r>
        <w:t>, T.C. Memo. 2008</w:t>
      </w:r>
      <w:r>
        <w:noBreakHyphen/>
        <w:t>74.  The more volatile the underlying assets, the shorter the period might be.  When the assets were publicly-traded shares in a technology corporation, the Tax Court found that six days was a sufficient time to render the steps independent.</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It is impossible to determine the economic volatility of a personal residence.  Certainly, waiting for a year until a new property tax or other appraisal confirmed that the property had materially changed in value would be sufficient.  In a market when interest rates are rising or falling quickly, a much shorter term might suffice.  The safest approach is to obtain an appraisal of the value of the property when the initial term of the QPRT ends, and then to obtain update appraisals periodically, and to consider the gift back after there has been a ten percent (or other agreed percentage) change in the value of the residence.</w:t>
      </w:r>
    </w:p>
    <w:p w:rsidR="00800BE7" w:rsidRDefault="00800BE7">
      <w:pPr>
        <w:widowControl/>
        <w:ind w:left="2160" w:firstLine="720"/>
        <w:jc w:val="both"/>
      </w:pPr>
      <w:r>
        <w:t>Third, the gift back to the original donor is a taxable gift for gift tax purposes.  The original beneficiaries must pay gift tax or utilize their $1 million lifetime gift tax exclusions for at least the present value of the lifetime interest given to the original donor, and possibly for the remainder interest, too.  Currently, however, when interest rates are very low, the amount of this gift is likely to be quite small.</w:t>
      </w:r>
    </w:p>
    <w:p w:rsidR="00800BE7" w:rsidRDefault="00800BE7">
      <w:pPr>
        <w:widowControl/>
        <w:ind w:left="2160" w:firstLine="720"/>
        <w:jc w:val="both"/>
      </w:pPr>
      <w:r>
        <w:t>Therefore, the return QPRT is an option for providing the donor of a QPRT a right to stay in the residence for the rest of his or her lifetime after the expiration of the initial reserved use term.  It may be inferior to a leaseback of the property to the donor for a fair market rental, but it does prevent a parent or grandparent from finding themselves a tenant of their child or grandchild.</w:t>
      </w:r>
    </w:p>
    <w:p w:rsidR="00800BE7" w:rsidRDefault="00800BE7">
      <w:pPr>
        <w:widowControl/>
        <w:ind w:left="2160" w:firstLine="720"/>
        <w:jc w:val="both"/>
      </w:pPr>
      <w:r>
        <w:t xml:space="preserve">See also discussion of return QPRTs in Aucutt &amp; Zaritsky, </w:t>
      </w:r>
      <w:r>
        <w:rPr>
          <w:i/>
          <w:iCs/>
        </w:rPr>
        <w:t xml:space="preserve">Structuring Estate Freezes </w:t>
      </w:r>
      <w:r>
        <w:t xml:space="preserve">¶ 10.05[8][f] (RIA/WG&amp;L 2d ed.); Handler, </w:t>
      </w:r>
      <w:r>
        <w:lastRenderedPageBreak/>
        <w:t>Forgianni &amp; Ring, “Tax Law Update: IRC Section 2701(a) Does Not Apply to Reverse Qualified Personal Residence Trusts,”148 Tr. &amp; Est. 10 (Feb. 2009); and Handler, “Tax Law Update: Another Reverse QPRT Approved,” 148 Tr. &amp; Est. 9 (Aug. 2009).</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1440" w:hanging="720"/>
        <w:jc w:val="both"/>
      </w:pPr>
      <w:r>
        <w:rPr>
          <w:b/>
          <w:bCs/>
        </w:rPr>
        <w:fldChar w:fldCharType="begin"/>
      </w:r>
      <w:r w:rsidR="00800BE7">
        <w:rPr>
          <w:b/>
          <w:bCs/>
        </w:rPr>
        <w:instrText>LISTNUM Outline \l 2</w:instrText>
      </w:r>
      <w:r>
        <w:rPr>
          <w:b/>
          <w:bCs/>
        </w:rPr>
        <w:fldChar w:fldCharType="end"/>
      </w:r>
      <w:r w:rsidR="00800BE7">
        <w:rPr>
          <w:b/>
          <w:bCs/>
        </w:rPr>
        <w:tab/>
        <w:t>Code § 2703.  Restrictions on Transfer</w:t>
      </w:r>
      <w:r>
        <w:rPr>
          <w:b/>
          <w:bCs/>
        </w:rPr>
        <w:fldChar w:fldCharType="begin"/>
      </w:r>
      <w:r w:rsidR="00800BE7">
        <w:rPr>
          <w:b/>
          <w:bCs/>
        </w:rPr>
        <w:instrText>tc \l2 "Field result goes here</w:instrText>
      </w:r>
      <w:r w:rsidR="00800BE7">
        <w:rPr>
          <w:b/>
          <w:bCs/>
        </w:rPr>
        <w:tab/>
        <w:instrText>Code § 2703.  Restrictions on Transfer</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 xml:space="preserve">Buy-Sell Restrictions Ignored Under Section 2703 Because LLC Was Not a </w:t>
      </w:r>
      <w:r>
        <w:rPr>
          <w:b/>
          <w:bCs/>
          <w:i/>
          <w:iCs/>
        </w:rPr>
        <w:t xml:space="preserve">Bona Fide </w:t>
      </w:r>
      <w:r>
        <w:rPr>
          <w:b/>
          <w:bCs/>
        </w:rPr>
        <w:t xml:space="preserve">Business.  </w:t>
      </w:r>
      <w:r>
        <w:rPr>
          <w:b/>
          <w:bCs/>
          <w:i/>
          <w:iCs/>
        </w:rPr>
        <w:t>Fisher v. United States</w:t>
      </w:r>
      <w:r>
        <w:rPr>
          <w:b/>
          <w:bCs/>
        </w:rPr>
        <w:t>, 2010 WL 3522952, 106 A.F.T.R. 2d 2010</w:t>
      </w:r>
      <w:r>
        <w:rPr>
          <w:b/>
          <w:bCs/>
        </w:rPr>
        <w:noBreakHyphen/>
        <w:t>6144 (S.D. Ind. Sept. 1, 2010) (slip copy)</w:t>
      </w:r>
      <w:r w:rsidR="00BC7053">
        <w:fldChar w:fldCharType="begin"/>
      </w:r>
      <w:r>
        <w:instrText>tc \l3 "</w:instrText>
      </w:r>
      <w:r>
        <w:rPr>
          <w:b/>
          <w:bCs/>
        </w:rPr>
        <w:instrText xml:space="preserve">Buy-Sell Restrictions Ignored Under Section 2703 Because LLC Was Not a </w:instrText>
      </w:r>
      <w:r>
        <w:rPr>
          <w:b/>
          <w:bCs/>
          <w:i/>
          <w:iCs/>
        </w:rPr>
        <w:instrText xml:space="preserve">Bona Fide </w:instrText>
      </w:r>
      <w:r>
        <w:rPr>
          <w:b/>
          <w:bCs/>
        </w:rPr>
        <w:instrText xml:space="preserve">Business.  </w:instrText>
      </w:r>
      <w:r>
        <w:rPr>
          <w:b/>
          <w:bCs/>
          <w:i/>
          <w:iCs/>
        </w:rPr>
        <w:instrText>Fisher v. United States</w:instrText>
      </w:r>
      <w:r>
        <w:rPr>
          <w:b/>
          <w:bCs/>
        </w:rPr>
        <w:instrText>, 2010 WL 3522952, 106 A.F.T.R. 2d 2010</w:instrText>
      </w:r>
      <w:r>
        <w:rPr>
          <w:b/>
          <w:bCs/>
        </w:rPr>
        <w:noBreakHyphen/>
        <w:instrText>6144 (S.D. Ind. Sept. 1, 2010) (slip copy)</w:instrText>
      </w:r>
      <w:r w:rsidR="00BC7053">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1440"/>
        <w:jc w:val="both"/>
      </w:pPr>
      <w:r>
        <w:lastRenderedPageBreak/>
        <w:t>The Fishers gave each of their seven children a 4.762% membership interest in Good Harbor Partners, LLC, the principal asset of which was undeveloped lakefront land.  The Good Harbor's operating agreement stated, in part, that the Fishers formed the LLC primarily to engage in the business of investing in and holding for investment real property, to select with whom they would be in "business" and to keep the property held by the LLC for use by its members.  The Fishers' other objectives were to discourage business disputes among family members, prevent partition of the lakefront property, and protect the lakefront property from the Members' individual creditors.  The agreement included restrictions on the transfer of membership interests, including giving the LLC a right of first refusal in case of a transfer.  The LLC could pay for the purchased interest with non</w:t>
      </w:r>
      <w:r>
        <w:noBreakHyphen/>
        <w:t>negoti</w:t>
      </w:r>
      <w:r>
        <w:softHyphen/>
        <w:t>able promissory notes for a term of up to 15 years, with payments "in equal annual installments of principal and interest, the first of which shall be due and payable one (1) year after the Closing Date."  The right of first refusal did not apply to the Fishers or their descendants.  The IRS assessed a deficiency of $625,986.00 in additional gift tax, based on revaluation of the membership interests ignoring the transfer restrictions.</w:t>
      </w:r>
    </w:p>
    <w:p w:rsidR="00800BE7" w:rsidRDefault="00800BE7">
      <w:pPr>
        <w:widowControl/>
        <w:ind w:left="1440" w:firstLine="720"/>
        <w:jc w:val="both"/>
      </w:pPr>
      <w:r>
        <w:t xml:space="preserve">The U.S. District Court for the Southern District of Indiana (Judge McKinney) held that the transfer restrictions were not taken into account under Section 2703, because the LLC was not a </w:t>
      </w:r>
      <w:r>
        <w:rPr>
          <w:i/>
          <w:iCs/>
        </w:rPr>
        <w:t xml:space="preserve">bona fide </w:t>
      </w:r>
      <w:r>
        <w:t>business.  Section 2703(a) ignores transfer restrictions unless they are a "bona fide business arrangement," not a device to transfer such property to members of the decedent's family for less than full and adequate consideration in money or money's worth, and include terms that are comparable to similar arrange</w:t>
      </w:r>
      <w:r>
        <w:softHyphen/>
        <w:t xml:space="preserve">ments entered into by persons in an arms' length transaction shall be valued with regard to such option, agreement, right, or restriction.  Code §§ 2703(b)(1) to 2703(b)(3).  The court stated that “maintenance of family ownership and control of a business may be a bona fide business purpose.”  The restriction at issue must, however, foster active involvement in the business.  </w:t>
      </w:r>
      <w:r>
        <w:rPr>
          <w:i/>
          <w:iCs/>
        </w:rPr>
        <w:t>Holman v. Comm'r</w:t>
      </w:r>
      <w:r>
        <w:t xml:space="preserve">, 601 F.3d 763, 770, 772 (8th Cir. 2010).  The Fishers argued that holding real estate for investment or development is a </w:t>
      </w:r>
      <w:r>
        <w:rPr>
          <w:i/>
          <w:iCs/>
        </w:rPr>
        <w:lastRenderedPageBreak/>
        <w:t xml:space="preserve">bona fide </w:t>
      </w:r>
      <w:r>
        <w:t xml:space="preserve">business.  The court stated that there was no evidence that (1) the Fishers had an investment strategy that was preserved by use of the LLC, (2) the Fishers or their children made ongoing investments in the lakefront property to increase its commercial value, or (3) the Fishers or their children acquired or pursued the acquisition of additional real property as an investment for the LLC.  The Fishers noted that a financial officer was employed to manage the expenses associated with owning the lakefront property, that the children occasionally deposited money into the LLC’s checking account, and that the financial officer would distribute those funds towards real estate taxes and other expenses.  Similar facts, the court stated, could be found in connection with every interest in real estate, and they do not show that the LLC was a </w:t>
      </w:r>
      <w:r>
        <w:rPr>
          <w:i/>
          <w:iCs/>
        </w:rPr>
        <w:t xml:space="preserve">bona fide </w:t>
      </w:r>
      <w:r>
        <w:t>business.</w:t>
      </w:r>
    </w:p>
    <w:p w:rsidR="00800BE7" w:rsidRDefault="00800BE7">
      <w:pPr>
        <w:widowControl/>
        <w:jc w:val="both"/>
      </w:pPr>
    </w:p>
    <w:p w:rsidR="00800BE7" w:rsidRDefault="00800BE7">
      <w:pPr>
        <w:widowControl/>
        <w:jc w:val="both"/>
      </w:pPr>
    </w:p>
    <w:p w:rsidR="00800BE7" w:rsidRDefault="00BC7053">
      <w:pPr>
        <w:keepNext/>
        <w:keepLines/>
        <w:widowControl/>
        <w:jc w:val="both"/>
      </w:pPr>
      <w:r>
        <w:rPr>
          <w:b/>
          <w:bCs/>
        </w:rPr>
        <w:fldChar w:fldCharType="begin"/>
      </w:r>
      <w:r w:rsidR="00800BE7">
        <w:rPr>
          <w:b/>
          <w:bCs/>
        </w:rPr>
        <w:instrText>LISTNUM Outline \l 1</w:instrText>
      </w:r>
      <w:r>
        <w:rPr>
          <w:b/>
          <w:bCs/>
        </w:rPr>
        <w:fldChar w:fldCharType="end"/>
      </w:r>
      <w:r w:rsidR="00800BE7">
        <w:rPr>
          <w:b/>
          <w:bCs/>
        </w:rPr>
        <w:tab/>
        <w:t>INCOME TAXES</w:t>
      </w:r>
      <w:r>
        <w:fldChar w:fldCharType="begin"/>
      </w:r>
      <w:r w:rsidR="00800BE7">
        <w:instrText>tc \l1 "</w:instrText>
      </w:r>
      <w:r w:rsidR="00800BE7">
        <w:rPr>
          <w:b/>
          <w:bCs/>
        </w:rPr>
        <w:instrText>Field result goes here</w:instrText>
      </w:r>
      <w:r w:rsidR="00800BE7">
        <w:rPr>
          <w:b/>
          <w:bCs/>
        </w:rPr>
        <w:tab/>
        <w:instrText>INCOME TAXES</w:instrText>
      </w:r>
      <w:r>
        <w:fldChar w:fldCharType="end"/>
      </w:r>
    </w:p>
    <w:p w:rsidR="00800BE7" w:rsidRDefault="00800BE7">
      <w:pPr>
        <w:keepNext/>
        <w:keepLines/>
        <w:widowControl/>
        <w:jc w:val="both"/>
      </w:pPr>
    </w:p>
    <w:p w:rsidR="00800BE7" w:rsidRDefault="00BC7053">
      <w:pPr>
        <w:keepNext/>
        <w:keepLines/>
        <w:widowControl/>
        <w:ind w:firstLine="720"/>
        <w:jc w:val="both"/>
      </w:pPr>
      <w:r>
        <w:rPr>
          <w:b/>
          <w:bCs/>
        </w:rPr>
        <w:fldChar w:fldCharType="begin"/>
      </w:r>
      <w:r w:rsidR="00800BE7">
        <w:rPr>
          <w:b/>
          <w:bCs/>
        </w:rPr>
        <w:instrText>LISTNUM Outline \l 2 \s 1</w:instrText>
      </w:r>
      <w:r>
        <w:rPr>
          <w:b/>
          <w:bCs/>
        </w:rPr>
        <w:fldChar w:fldCharType="end"/>
      </w:r>
      <w:r w:rsidR="00800BE7">
        <w:rPr>
          <w:b/>
          <w:bCs/>
        </w:rPr>
        <w:tab/>
        <w:t>Code § 1.  Income Tax Rates</w:t>
      </w:r>
      <w:r>
        <w:fldChar w:fldCharType="begin"/>
      </w:r>
      <w:r w:rsidR="00800BE7">
        <w:instrText>tc \l2 "</w:instrText>
      </w:r>
      <w:r w:rsidR="00800BE7">
        <w:rPr>
          <w:b/>
          <w:bCs/>
        </w:rPr>
        <w:instrText>Field result goes here</w:instrText>
      </w:r>
      <w:r w:rsidR="00800BE7">
        <w:rPr>
          <w:b/>
          <w:bCs/>
        </w:rPr>
        <w:tab/>
        <w:instrText>Code § 1.  Income Tax Rates</w:instrText>
      </w:r>
      <w:r>
        <w:fldChar w:fldCharType="end"/>
      </w:r>
    </w:p>
    <w:p w:rsidR="00800BE7" w:rsidRDefault="00800BE7">
      <w:pPr>
        <w:keepNext/>
        <w:keepLines/>
        <w:widowControl/>
        <w:jc w:val="both"/>
      </w:pPr>
    </w:p>
    <w:p w:rsidR="00800BE7" w:rsidRDefault="00800BE7">
      <w:pPr>
        <w:keepNext/>
        <w:keepLines/>
        <w:widowControl/>
        <w:ind w:left="1440"/>
        <w:jc w:val="both"/>
      </w:pPr>
      <w:r>
        <w:rPr>
          <w:b/>
          <w:bCs/>
        </w:rPr>
        <w:t>Income Tax Rates Adjusted for Inflation.  Rev. Proc. 2011-12 § 2.01, 2010-2 I.R.B. 297 (Jan. 10, 2011)</w:t>
      </w:r>
      <w:r w:rsidR="00BC7053">
        <w:fldChar w:fldCharType="begin"/>
      </w:r>
      <w:r>
        <w:instrText>tc \l3 "</w:instrText>
      </w:r>
      <w:r>
        <w:rPr>
          <w:b/>
          <w:bCs/>
        </w:rPr>
        <w:instrText>Income Tax Rates Adjusted for Inflation.  Rev. Proc. 2011-12 § 2.01, 2010-2 I.R.B. 297 (Jan. 10, 2011)</w:instrText>
      </w:r>
      <w:r w:rsidR="00BC7053">
        <w:fldChar w:fldCharType="end"/>
      </w:r>
    </w:p>
    <w:p w:rsidR="00800BE7" w:rsidRDefault="00800BE7">
      <w:pPr>
        <w:keepNext/>
        <w:keepLines/>
        <w:widowControl/>
        <w:jc w:val="both"/>
      </w:pPr>
    </w:p>
    <w:p w:rsidR="00800BE7" w:rsidRDefault="00800BE7">
      <w:pPr>
        <w:keepNext/>
        <w:keepLines/>
        <w:widowControl/>
        <w:ind w:firstLine="1440"/>
        <w:jc w:val="both"/>
      </w:pPr>
      <w:r>
        <w:t>The 2011 income tax rates for trusts and estates are:</w:t>
      </w:r>
    </w:p>
    <w:p w:rsidR="00800BE7" w:rsidRDefault="00800BE7">
      <w:pPr>
        <w:keepLines/>
        <w:widowControl/>
        <w:jc w:val="both"/>
      </w:pPr>
    </w:p>
    <w:p w:rsidR="00800BE7" w:rsidRDefault="00800BE7">
      <w:pPr>
        <w:widowControl/>
        <w:tabs>
          <w:tab w:val="left" w:pos="-1440"/>
        </w:tabs>
        <w:ind w:left="7200" w:hanging="5040"/>
        <w:jc w:val="both"/>
      </w:pPr>
      <w:r>
        <w:rPr>
          <w:u w:val="single"/>
        </w:rPr>
        <w:t>Income</w:t>
      </w:r>
      <w:r>
        <w:tab/>
      </w:r>
      <w:r>
        <w:tab/>
      </w:r>
      <w:r>
        <w:tab/>
      </w:r>
      <w:r>
        <w:tab/>
      </w:r>
      <w:r>
        <w:tab/>
      </w:r>
      <w:r>
        <w:tab/>
      </w:r>
      <w:r>
        <w:rPr>
          <w:u w:val="single"/>
        </w:rPr>
        <w:t>Rate</w:t>
      </w:r>
    </w:p>
    <w:p w:rsidR="00800BE7" w:rsidRDefault="00800BE7">
      <w:pPr>
        <w:widowControl/>
        <w:tabs>
          <w:tab w:val="left" w:pos="-1440"/>
        </w:tabs>
        <w:ind w:left="6480" w:hanging="4320"/>
        <w:jc w:val="both"/>
      </w:pPr>
      <w:r>
        <w:t>Not over $2,300</w:t>
      </w:r>
      <w:r>
        <w:tab/>
      </w:r>
      <w:r>
        <w:tab/>
      </w:r>
      <w:r>
        <w:tab/>
      </w:r>
      <w:r>
        <w:tab/>
        <w:t>15%</w:t>
      </w:r>
    </w:p>
    <w:p w:rsidR="00800BE7" w:rsidRDefault="00800BE7">
      <w:pPr>
        <w:widowControl/>
        <w:tabs>
          <w:tab w:val="left" w:pos="-1440"/>
        </w:tabs>
        <w:ind w:left="6480" w:hanging="4320"/>
        <w:jc w:val="both"/>
      </w:pPr>
      <w:r>
        <w:t>Over $2,300 but not over $5,450</w:t>
      </w:r>
      <w:r>
        <w:tab/>
      </w:r>
      <w:r>
        <w:tab/>
        <w:t>$345 + 25% on excess over $2,300</w:t>
      </w:r>
    </w:p>
    <w:p w:rsidR="00800BE7" w:rsidRDefault="00800BE7">
      <w:pPr>
        <w:widowControl/>
        <w:tabs>
          <w:tab w:val="left" w:pos="-1440"/>
        </w:tabs>
        <w:ind w:left="6480" w:hanging="4320"/>
        <w:jc w:val="both"/>
      </w:pPr>
      <w:r>
        <w:t>Over $5,350 but not over $8,300</w:t>
      </w:r>
      <w:r>
        <w:tab/>
      </w:r>
      <w:r>
        <w:tab/>
        <w:t>$1,132.50 + 28% on excess over $5,450</w:t>
      </w:r>
    </w:p>
    <w:p w:rsidR="00800BE7" w:rsidRDefault="00800BE7">
      <w:pPr>
        <w:widowControl/>
        <w:tabs>
          <w:tab w:val="left" w:pos="-1440"/>
        </w:tabs>
        <w:ind w:left="6480" w:hanging="4320"/>
        <w:jc w:val="both"/>
        <w:sectPr w:rsidR="00800BE7">
          <w:type w:val="continuous"/>
          <w:pgSz w:w="12240" w:h="15840"/>
          <w:pgMar w:top="1440" w:right="1440" w:bottom="1440" w:left="1435" w:header="1440" w:footer="1440" w:gutter="0"/>
          <w:cols w:space="720"/>
          <w:noEndnote/>
        </w:sectPr>
      </w:pPr>
    </w:p>
    <w:p w:rsidR="00800BE7" w:rsidRDefault="00800BE7">
      <w:pPr>
        <w:keepNext/>
        <w:keepLines/>
        <w:widowControl/>
        <w:tabs>
          <w:tab w:val="left" w:pos="-1440"/>
        </w:tabs>
        <w:ind w:left="6480" w:hanging="4320"/>
        <w:jc w:val="both"/>
      </w:pPr>
      <w:r>
        <w:lastRenderedPageBreak/>
        <w:t xml:space="preserve">Over $8,300 but not over $11,350  </w:t>
      </w:r>
      <w:r>
        <w:tab/>
        <w:t>$1,930.50 + 33% on excess over $8,300</w:t>
      </w:r>
    </w:p>
    <w:p w:rsidR="00800BE7" w:rsidRDefault="00800BE7">
      <w:pPr>
        <w:keepLines/>
        <w:widowControl/>
        <w:tabs>
          <w:tab w:val="left" w:pos="-1440"/>
        </w:tabs>
        <w:ind w:left="6480" w:hanging="4320"/>
        <w:jc w:val="both"/>
      </w:pPr>
      <w:r>
        <w:t>Over $11,350</w:t>
      </w:r>
      <w:r>
        <w:tab/>
      </w:r>
      <w:r>
        <w:tab/>
      </w:r>
      <w:r>
        <w:tab/>
        <w:t xml:space="preserve">  </w:t>
      </w:r>
      <w:r>
        <w:tab/>
        <w:t>$2,937 plus 35% on excess over $11,350</w:t>
      </w:r>
    </w:p>
    <w:p w:rsidR="00800BE7" w:rsidRDefault="00800BE7">
      <w:pPr>
        <w:widowControl/>
        <w:jc w:val="both"/>
      </w:pPr>
    </w:p>
    <w:p w:rsidR="00800BE7" w:rsidRDefault="00800BE7">
      <w:pPr>
        <w:widowControl/>
        <w:ind w:left="1440"/>
        <w:jc w:val="both"/>
      </w:pPr>
      <w:r>
        <w:t>Code § 1(e).  Also, the kiddie tax applies to income over the $950 standard deduction for a dependent under Code § 63(c)(5)), and a parent may elect to include in gross income up to $9,500 of a child’s income.  Code § 1(g)(4)(A).</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rPr>
          <w:b/>
          <w:bCs/>
        </w:rPr>
      </w:pPr>
      <w:r>
        <w:rPr>
          <w:b/>
          <w:bCs/>
        </w:rPr>
        <w:fldChar w:fldCharType="begin"/>
      </w:r>
      <w:r w:rsidR="00800BE7">
        <w:rPr>
          <w:b/>
          <w:bCs/>
        </w:rPr>
        <w:instrText>LISTNUM Outline \l 2</w:instrText>
      </w:r>
      <w:r>
        <w:rPr>
          <w:b/>
          <w:bCs/>
        </w:rPr>
        <w:fldChar w:fldCharType="end"/>
      </w:r>
      <w:r w:rsidR="00800BE7">
        <w:rPr>
          <w:b/>
          <w:bCs/>
        </w:rPr>
        <w:tab/>
        <w:t>Code § 61.  Gross Income</w:t>
      </w:r>
      <w:r>
        <w:rPr>
          <w:b/>
          <w:bCs/>
        </w:rPr>
        <w:fldChar w:fldCharType="begin"/>
      </w:r>
      <w:r w:rsidR="00800BE7">
        <w:rPr>
          <w:b/>
          <w:bCs/>
        </w:rPr>
        <w:instrText>tc \l2 "Field result goes here</w:instrText>
      </w:r>
      <w:r w:rsidR="00800BE7">
        <w:rPr>
          <w:b/>
          <w:bCs/>
        </w:rPr>
        <w:tab/>
        <w:instrText>Code § 61.  Gross Income</w:instrText>
      </w:r>
      <w:r>
        <w:rPr>
          <w:b/>
          <w:bCs/>
        </w:rPr>
        <w:fldChar w:fldCharType="end"/>
      </w:r>
    </w:p>
    <w:p w:rsidR="00800BE7" w:rsidRDefault="00800BE7">
      <w:pPr>
        <w:keepNext/>
        <w:keepLines/>
        <w:widowControl/>
        <w:jc w:val="both"/>
        <w:rPr>
          <w:b/>
          <w:bCs/>
        </w:rPr>
      </w:pPr>
    </w:p>
    <w:p w:rsidR="00800BE7" w:rsidRDefault="00800BE7">
      <w:pPr>
        <w:keepNext/>
        <w:keepLines/>
        <w:widowControl/>
        <w:ind w:left="1440"/>
        <w:jc w:val="both"/>
      </w:pPr>
      <w:r>
        <w:rPr>
          <w:b/>
          <w:bCs/>
        </w:rPr>
        <w:t xml:space="preserve">When a Loan is Not a Loan.  </w:t>
      </w:r>
      <w:r>
        <w:rPr>
          <w:b/>
          <w:bCs/>
          <w:i/>
          <w:iCs/>
        </w:rPr>
        <w:t>Todd v. Comm’r</w:t>
      </w:r>
      <w:r>
        <w:rPr>
          <w:b/>
          <w:bCs/>
        </w:rPr>
        <w:t>, T.C. Memo. 2011-123 (June 6, 2011)</w:t>
      </w:r>
      <w:r w:rsidR="00BC7053">
        <w:fldChar w:fldCharType="begin"/>
      </w:r>
      <w:r>
        <w:instrText>tc \l3 "</w:instrText>
      </w:r>
      <w:r>
        <w:rPr>
          <w:b/>
          <w:bCs/>
        </w:rPr>
        <w:instrText xml:space="preserve">When a Loan is Not a Loan.  </w:instrText>
      </w:r>
      <w:r>
        <w:rPr>
          <w:b/>
          <w:bCs/>
          <w:i/>
          <w:iCs/>
        </w:rPr>
        <w:instrText>Todd v. Comm’r</w:instrText>
      </w:r>
      <w:r>
        <w:rPr>
          <w:b/>
          <w:bCs/>
        </w:rPr>
        <w:instrText>, T.C. Memo. 2011-123 (June 6, 2011)</w:instrText>
      </w:r>
      <w:r w:rsidR="00BC7053">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1440"/>
        <w:jc w:val="both"/>
      </w:pPr>
      <w:r>
        <w:lastRenderedPageBreak/>
        <w:t>Frederick Todd was a practicing neurosurgeon employed by his own wholly-owned corporation.  The corporation signed an agreement permitting the American Workers Master Contract Group (AWMCG) to represent it in negotiations with the National Production Workers Union Local 707 (Local 707), which represented the corporation’s employees.  The corporation agreed to provide eligible employees with a death benefit only (DBO) plan organized through the American Workers Benefit Fund (AWBF), a welfare benefit fund established between AWMCG and Local 707.  Under the plan, AWBF provided the covered employee’s beneficiary a death benefit equal to eight times the employee’s annual income, up to a maximum $6 million death benefit.  Death benefits would be paid unless the employee’s employment with the corporation was terminated, the corporation ceased making contributions, or if the master contract between the union and the master contract group was not renewed.  The taxpayer enrolled in the plan and named his wife as beneficiary of a $6 million death benefit.  The fund bought a $6 million universal life insurance policy on the taxpayer’s life, with an annual premium of $100,000.  The corporation made yearly contributions to AWBF on behalf of petitioner and the other covered employees.  The plan trust agreement gave the trustees discretionary authority to lend up to the present value of the death benefit to a plan participant, on an application and written evidence of an emergency or serious financial hardship. The taxpayer requested a $400,000 loan (the maximum amount that could be lent).  The trustees considered borrowing against the policy cash value, but decided instead to make a partial surrender of the policy, withdrawing $400,000.  The trustees issued a $400,000 check to the taxpayer, but they did not obtain a signed promissory note for six months, and that loan was at a one percent interest rate.  The note also provided that, absent the required quarterly payments, the lender could deduct the outstanding loan balance from any payment or distribution due from the trust to the participant or his beneficiary.  The taxpayer quit making payments on the note, relying on the alternate payment provision that would allow the trustees to be repaid from the death benefit.  The IRS treated the $400,000 as taxable income, and assessed a deficiency and a late payment penalty and accuracy-related penalty.</w:t>
      </w:r>
    </w:p>
    <w:p w:rsidR="00800BE7" w:rsidRDefault="00800BE7">
      <w:pPr>
        <w:keepLines/>
        <w:widowControl/>
        <w:ind w:left="1440"/>
        <w:jc w:val="both"/>
        <w:sectPr w:rsidR="00800BE7">
          <w:type w:val="continuous"/>
          <w:pgSz w:w="12240" w:h="15840"/>
          <w:pgMar w:top="1440" w:right="1440" w:bottom="1440" w:left="1435" w:header="1440" w:footer="1440" w:gutter="0"/>
          <w:cols w:space="720"/>
          <w:noEndnote/>
        </w:sectPr>
      </w:pPr>
    </w:p>
    <w:p w:rsidR="00800BE7" w:rsidRDefault="00800BE7">
      <w:pPr>
        <w:widowControl/>
        <w:ind w:left="1440" w:firstLine="720"/>
        <w:jc w:val="both"/>
      </w:pPr>
      <w:r>
        <w:lastRenderedPageBreak/>
        <w:t xml:space="preserve">The Tax Court (Judge Haines) held that the trustee’s payment to the taxpayer was includible in gross income under the general definition in Section 61(a), and was not the actual extension of a loan.  The court stated that whether a transaction constitutes a loan for income tax purposes is a factual question involving several considerations, and that the distinguishing characteristic of a loan is the intention of the parties that the money advanced be repaid.  </w:t>
      </w:r>
      <w:r>
        <w:rPr>
          <w:i/>
          <w:iCs/>
        </w:rPr>
        <w:t>Moore v. United States</w:t>
      </w:r>
      <w:r>
        <w:t>, 412 F.2d 974, 978 (5th Cir. 1969).  The court looked at seven factors, finding that: (1) A note or other instrument is indicative of a debtor</w:t>
      </w:r>
      <w:r>
        <w:softHyphen/>
        <w:t xml:space="preserve">-creditor relationship, but little weight is given to an instrument that does not comport with the substance of the transaction.  </w:t>
      </w:r>
      <w:r>
        <w:rPr>
          <w:i/>
          <w:iCs/>
        </w:rPr>
        <w:t>Teymourian v. Comm’r</w:t>
      </w:r>
      <w:r>
        <w:t>, T.C. Memo. 2005</w:t>
      </w:r>
      <w:r>
        <w:noBreakHyphen/>
        <w:t xml:space="preserve">232; </w:t>
      </w:r>
      <w:r>
        <w:rPr>
          <w:i/>
          <w:iCs/>
        </w:rPr>
        <w:t>Provost v. Comm’r</w:t>
      </w:r>
      <w:r>
        <w:t>, T.C. Memo. 2000</w:t>
      </w:r>
      <w:r>
        <w:noBreakHyphen/>
        <w:t xml:space="preserve">177.  Here, the taxpayer signed a note, but only </w:t>
      </w:r>
      <w:r>
        <w:lastRenderedPageBreak/>
        <w:t xml:space="preserve">six months after receiving the money, and neither party to the note adhered to its terms, including the failure of the taxpayer to make the required quarterly payments or the lender to charge reasonable interest and to attempt to collect on the debt upon default; (2) The payment of interest indicates the existence of a </w:t>
      </w:r>
      <w:r>
        <w:rPr>
          <w:i/>
          <w:iCs/>
        </w:rPr>
        <w:t xml:space="preserve">bona fide </w:t>
      </w:r>
      <w:r>
        <w:t xml:space="preserve">debt.  </w:t>
      </w:r>
      <w:r>
        <w:rPr>
          <w:i/>
          <w:iCs/>
        </w:rPr>
        <w:t>Welch v. Comm’r</w:t>
      </w:r>
      <w:r>
        <w:t xml:space="preserve">, 204 F.3d 1228, 1230 (9th Cir. 2000), </w:t>
      </w:r>
      <w:r>
        <w:rPr>
          <w:i/>
          <w:iCs/>
        </w:rPr>
        <w:t>aff’g</w:t>
      </w:r>
      <w:r>
        <w:t>. T.C. Memo. 1998</w:t>
      </w:r>
      <w:r>
        <w:noBreakHyphen/>
        <w:t xml:space="preserve">121; </w:t>
      </w:r>
      <w:r>
        <w:rPr>
          <w:i/>
          <w:iCs/>
        </w:rPr>
        <w:t>Teymourian v. Comm’r</w:t>
      </w:r>
      <w:r>
        <w:t xml:space="preserve">, </w:t>
      </w:r>
      <w:r>
        <w:rPr>
          <w:i/>
          <w:iCs/>
        </w:rPr>
        <w:t>supra</w:t>
      </w:r>
      <w:r>
        <w:t xml:space="preserve">; </w:t>
      </w:r>
      <w:r>
        <w:rPr>
          <w:i/>
          <w:iCs/>
        </w:rPr>
        <w:t>Morrison v. Comm’r</w:t>
      </w:r>
      <w:r>
        <w:t>, T.C. Memo. 2005</w:t>
      </w:r>
      <w:r>
        <w:noBreakHyphen/>
        <w:t>53.  Here, the trust agreement provided that a reasonable rate of interest should be charged, but the rate charged was well under that the trustees would pay the insurer to borrow against the policy, suggesting that there was no real debtor</w:t>
      </w:r>
      <w:r>
        <w:noBreakHyphen/>
        <w:t xml:space="preserve">creditor relationship; (3) A fixed schedule for repayment indicates a </w:t>
      </w:r>
      <w:r>
        <w:rPr>
          <w:i/>
          <w:iCs/>
        </w:rPr>
        <w:t>bona fide</w:t>
      </w:r>
      <w:r>
        <w:t xml:space="preserve"> loan.  </w:t>
      </w:r>
      <w:r>
        <w:rPr>
          <w:i/>
          <w:iCs/>
        </w:rPr>
        <w:t>Welch v. Comm’r</w:t>
      </w:r>
      <w:r>
        <w:t xml:space="preserve">, </w:t>
      </w:r>
      <w:r>
        <w:rPr>
          <w:i/>
          <w:iCs/>
        </w:rPr>
        <w:t xml:space="preserve">supra </w:t>
      </w:r>
      <w:r>
        <w:t xml:space="preserve">at 1231; </w:t>
      </w:r>
      <w:r>
        <w:rPr>
          <w:i/>
          <w:iCs/>
        </w:rPr>
        <w:t>Teymourian v. Comm’r</w:t>
      </w:r>
      <w:r>
        <w:t xml:space="preserve">, </w:t>
      </w:r>
      <w:r>
        <w:rPr>
          <w:i/>
          <w:iCs/>
        </w:rPr>
        <w:t>supra</w:t>
      </w:r>
      <w:r>
        <w:t>.  Here, the taxpayer made no payments to the trustees and the trustees did not attempt to collect the amount owed after each default, indicating that there was no debtor</w:t>
      </w:r>
      <w:r>
        <w:noBreakHyphen/>
        <w:t xml:space="preserve">creditor relationship; (4) Adequate security evidences a </w:t>
      </w:r>
      <w:r>
        <w:rPr>
          <w:i/>
          <w:iCs/>
        </w:rPr>
        <w:t xml:space="preserve">bona fide </w:t>
      </w:r>
      <w:r>
        <w:t>debt, and while the insured did not own the policy and had no access to the cash values, he did effectively pledge the death benefits as security, suggesting that there was a bona fide debtor-creditor relationship; (5) Repa</w:t>
      </w:r>
      <w:r>
        <w:softHyphen/>
        <w:t xml:space="preserve">yment indicates a </w:t>
      </w:r>
      <w:r>
        <w:rPr>
          <w:i/>
          <w:iCs/>
        </w:rPr>
        <w:t>bona fide</w:t>
      </w:r>
      <w:r>
        <w:t xml:space="preserve"> loan.  </w:t>
      </w:r>
      <w:r>
        <w:rPr>
          <w:i/>
          <w:iCs/>
        </w:rPr>
        <w:t>Haber v. Comm’r</w:t>
      </w:r>
      <w:r>
        <w:t xml:space="preserve">, 52 T.C. 255, 266 (1969), </w:t>
      </w:r>
      <w:r>
        <w:rPr>
          <w:i/>
          <w:iCs/>
        </w:rPr>
        <w:t>aff’d</w:t>
      </w:r>
      <w:r>
        <w:t xml:space="preserve">. 422 F.2d 198 (5th Cir. 1970).  Here, however, the taxpayer signed a promissory note obligating him to make quarterly payments, but he had made none, by the start of the trial, suggesting that no </w:t>
      </w:r>
      <w:r>
        <w:rPr>
          <w:i/>
          <w:iCs/>
        </w:rPr>
        <w:t xml:space="preserve">bona fide </w:t>
      </w:r>
      <w:r>
        <w:t xml:space="preserve">debt existed.  The provision for repayment out of the death benefits did not replace the actual payments, because there were several conditions that had to be met (including continued employment) before the death benefits would belong to the taxpayer’s beneficiary.  </w:t>
      </w:r>
      <w:r>
        <w:rPr>
          <w:i/>
          <w:iCs/>
        </w:rPr>
        <w:t>Midkiff v. Comm’r</w:t>
      </w:r>
      <w:r>
        <w:t>, 96 T.C. 724, 734</w:t>
      </w:r>
      <w:r>
        <w:noBreakHyphen/>
        <w:t xml:space="preserve">735 (1991) (“Indebtedness is ‘an existing, unconditional, and legally enforceable obligation for the payment of a principal sum.’”, </w:t>
      </w:r>
      <w:r>
        <w:rPr>
          <w:i/>
          <w:iCs/>
        </w:rPr>
        <w:t>aff’d sub nom</w:t>
      </w:r>
      <w:r>
        <w:t xml:space="preserve">. </w:t>
      </w:r>
      <w:r>
        <w:rPr>
          <w:i/>
          <w:iCs/>
        </w:rPr>
        <w:t>Noguchi v. Comm’r</w:t>
      </w:r>
      <w:r>
        <w:t xml:space="preserve">, 992 F.2d 226 (9th Cir. 1993); (6) A reasonable expectation of repayment in light of the economic realities of the situation suggests a </w:t>
      </w:r>
      <w:r>
        <w:rPr>
          <w:i/>
          <w:iCs/>
        </w:rPr>
        <w:t xml:space="preserve">bona fide </w:t>
      </w:r>
      <w:r>
        <w:t xml:space="preserve">debt.  </w:t>
      </w:r>
      <w:r>
        <w:rPr>
          <w:i/>
          <w:iCs/>
        </w:rPr>
        <w:t>Fisher v. Comm’r</w:t>
      </w:r>
      <w:r>
        <w:t>, 54 T.C. 905, 909</w:t>
      </w:r>
      <w:r>
        <w:noBreakHyphen/>
        <w:t xml:space="preserve">910 (1970); </w:t>
      </w:r>
      <w:r>
        <w:rPr>
          <w:i/>
          <w:iCs/>
        </w:rPr>
        <w:t>Welch v. Comm’r</w:t>
      </w:r>
      <w:r>
        <w:t xml:space="preserve">, 204 F.3d at 1231.  Here, the taxpayer earned a substantial living as a neurosurgeon, and there was a reasonable prospect of petitioner’s repaying the purported loan; and (7) The conduct of the parties may be sufficient to indicate the existence of a debtor-creditor relationship.  </w:t>
      </w:r>
      <w:r>
        <w:rPr>
          <w:i/>
          <w:iCs/>
        </w:rPr>
        <w:t>Baird v. Comm’r</w:t>
      </w:r>
      <w:r>
        <w:t xml:space="preserve">, 25 T.C. 387, 395 (1955); </w:t>
      </w:r>
      <w:r>
        <w:rPr>
          <w:i/>
          <w:iCs/>
        </w:rPr>
        <w:t>Teymourian v. Comm’r</w:t>
      </w:r>
      <w:r>
        <w:t>, T.C. Memo. 2005</w:t>
      </w:r>
      <w:r>
        <w:noBreakHyphen/>
        <w:t xml:space="preserve">232; </w:t>
      </w:r>
      <w:r>
        <w:rPr>
          <w:i/>
          <w:iCs/>
        </w:rPr>
        <w:t>Morrison v. Comm’r</w:t>
      </w:r>
      <w:r>
        <w:t>, T.C. Memo. 2005</w:t>
      </w:r>
      <w:r>
        <w:noBreakHyphen/>
        <w:t xml:space="preserve">53.  Here, the parties did not conduct themselves in such a manner: the taxpayer failed to provide any written evidence of the hardship needed to obtain the loan and the trustees required no such evidence; the interest rate charged was well below market; the taxpayer failed to make any quarterly payments; the trustees never tried to collect on the defaulted loan; the note was not executed for almost six months after the funds were advanced; and the corporation quit making contributions to the trust to fund the taxpayer’s death benefit shortly after he </w:t>
      </w:r>
      <w:r>
        <w:lastRenderedPageBreak/>
        <w:t>received the $400,000 distribution.  All in all, the court held that the distribution of $400,000 did not constitute a bona fide loan, and that the distribution was taxable income.  The court also sustained both late filing and an accuracy-related penalty.</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rPr>
          <w:b/>
          <w:bCs/>
        </w:rPr>
      </w:pPr>
      <w:r>
        <w:rPr>
          <w:b/>
          <w:bCs/>
        </w:rPr>
        <w:fldChar w:fldCharType="begin"/>
      </w:r>
      <w:r w:rsidR="00800BE7">
        <w:rPr>
          <w:b/>
          <w:bCs/>
        </w:rPr>
        <w:instrText>LISTNUM Outline \l 2</w:instrText>
      </w:r>
      <w:r>
        <w:rPr>
          <w:b/>
          <w:bCs/>
        </w:rPr>
        <w:fldChar w:fldCharType="end"/>
      </w:r>
      <w:r w:rsidR="00800BE7">
        <w:rPr>
          <w:b/>
          <w:bCs/>
        </w:rPr>
        <w:tab/>
        <w:t>Code § 67.  Two</w:t>
      </w:r>
      <w:r w:rsidR="00800BE7">
        <w:rPr>
          <w:b/>
          <w:bCs/>
        </w:rPr>
        <w:noBreakHyphen/>
        <w:t>Percent Floor on Miscellaneous Itemized Deductions</w:t>
      </w:r>
      <w:r>
        <w:rPr>
          <w:b/>
          <w:bCs/>
        </w:rPr>
        <w:fldChar w:fldCharType="begin"/>
      </w:r>
      <w:r w:rsidR="00800BE7">
        <w:rPr>
          <w:b/>
          <w:bCs/>
        </w:rPr>
        <w:instrText>tc \l2 "Field result goes here</w:instrText>
      </w:r>
      <w:r w:rsidR="00800BE7">
        <w:rPr>
          <w:b/>
          <w:bCs/>
        </w:rPr>
        <w:tab/>
        <w:instrText>Code § 67.  Two</w:instrText>
      </w:r>
      <w:r w:rsidR="00800BE7">
        <w:rPr>
          <w:b/>
          <w:bCs/>
        </w:rPr>
        <w:noBreakHyphen/>
        <w:instrText>Percent Floor on Miscellaneous Itemized Deductions</w:instrText>
      </w:r>
      <w:r>
        <w:rPr>
          <w:b/>
          <w:bCs/>
        </w:rPr>
        <w:fldChar w:fldCharType="end"/>
      </w:r>
    </w:p>
    <w:p w:rsidR="00800BE7" w:rsidRDefault="00800BE7">
      <w:pPr>
        <w:keepNext/>
        <w:keepLines/>
        <w:widowControl/>
        <w:jc w:val="both"/>
        <w:rPr>
          <w:b/>
          <w:bCs/>
        </w:rPr>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Treasury Issues New Proposed Regulations on Deductibility of Trust Expenses for Investment Advice and Other Miscellaneous Itemized deductions.  Prop. Reg. § 1.67</w:t>
      </w:r>
      <w:r w:rsidR="00800BE7">
        <w:rPr>
          <w:b/>
          <w:bCs/>
        </w:rPr>
        <w:noBreakHyphen/>
        <w:t>4, REG-1288224-06, 76 Fed. Reg.  55322</w:t>
      </w:r>
      <w:r w:rsidR="00800BE7">
        <w:rPr>
          <w:b/>
          <w:bCs/>
        </w:rPr>
        <w:noBreakHyphen/>
        <w:t>01 (Sept. 7, 2001)</w:t>
      </w:r>
      <w:r>
        <w:fldChar w:fldCharType="begin"/>
      </w:r>
      <w:r w:rsidR="00800BE7">
        <w:instrText>tc \l3 "</w:instrText>
      </w:r>
      <w:r w:rsidR="00800BE7">
        <w:rPr>
          <w:b/>
          <w:bCs/>
        </w:rPr>
        <w:instrText>Field result goes here</w:instrText>
      </w:r>
      <w:r w:rsidR="00800BE7">
        <w:rPr>
          <w:b/>
          <w:bCs/>
        </w:rPr>
        <w:tab/>
        <w:instrText>Treasury Issues New Proposed Regulations on Deductibility of Trust Expenses for Investment Advice and Other Miscellaneous Itemized deductions.  Prop. Reg. § 1.67</w:instrText>
      </w:r>
      <w:r w:rsidR="00800BE7">
        <w:rPr>
          <w:b/>
          <w:bCs/>
        </w:rPr>
        <w:noBreakHyphen/>
        <w:instrText>4, REG-1288224-06, 76 Fed. Reg.  55322</w:instrText>
      </w:r>
      <w:r w:rsidR="00800BE7">
        <w:rPr>
          <w:b/>
          <w:bCs/>
        </w:rPr>
        <w:noBreakHyphen/>
        <w:instrText>01 (Sept. 7, 2001)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The IRS withdrew its outstanding 2007 proposed regulations (72 Fed. Reg. 41243 (July 27, 2007)) regarding which costs incurred by estates and nongrantor trusts are subject to the two</w:t>
      </w:r>
      <w:r>
        <w:noBreakHyphen/>
        <w:t>percent floor for miscella</w:t>
      </w:r>
      <w:r>
        <w:softHyphen/>
        <w:t xml:space="preserve">neous itemized deductions under Section 67(a), and issued new proposed regulations.  The new proposed regulations are designed to comply with the decision of the Supreme Court in </w:t>
      </w:r>
      <w:r>
        <w:rPr>
          <w:i/>
          <w:iCs/>
        </w:rPr>
        <w:t>Knight, Trustee v. Comm’r</w:t>
      </w:r>
      <w:r>
        <w:t>, 552 U.S. 181 (2008), which held that fees paid to an investment advisor by a non</w:t>
      </w:r>
      <w:r>
        <w:noBreakHyphen/>
        <w:t>grantor trust or estate are generally subject to the two</w:t>
      </w:r>
      <w:r>
        <w:noBreakHyphen/>
        <w:t>percent floor for miscellaneous itemized deductions under section 67(a).  The Supreme Court stated that the proper reading of the language in Section 67(e), which asks whether the expense “would not have been incurred if the property were not held in such trust or estate,” requires an inquiry into whether a hypothetical individual who held the same property outside of a trust “customarily” or “commonly” would incur such expenses.  Expenses that are “customarily” or “commonly” incurred by individuals are subject to the 2</w:t>
      </w:r>
      <w:r>
        <w:noBreakHyphen/>
        <w:t>percent floor. The court noted that investment advisory fees are not uncommonly incurred by individual investors and, thus, are subject to the two</w:t>
      </w:r>
      <w:r>
        <w:noBreakHyphen/>
        <w:t>percent floor.  The Court noted, however, that it is conceivable “that a trust may have an unusual investment objective, or may require a specialized balancing of the interests of various parties, such that a reasonable comparison with individual investors would be improper” and that in such cases, the incremental expenses beyond those normally incurred by an ordinary taxpayer would not be subject to the two-percent floor.  The proposed regulations provide guidance relating to the limited portion of the cost of investment advice that is not subject to the two</w:t>
      </w:r>
      <w:r>
        <w:noBreakHyphen/>
        <w:t>percent floor.</w:t>
      </w:r>
    </w:p>
    <w:p w:rsidR="00800BE7" w:rsidRDefault="00800BE7">
      <w:pPr>
        <w:widowControl/>
        <w:jc w:val="both"/>
      </w:pPr>
    </w:p>
    <w:p w:rsidR="00800BE7" w:rsidRDefault="00800BE7">
      <w:pPr>
        <w:widowControl/>
        <w:tabs>
          <w:tab w:val="left" w:pos="-1440"/>
        </w:tabs>
        <w:ind w:left="2880" w:hanging="720"/>
        <w:jc w:val="both"/>
      </w:pPr>
      <w:r>
        <w:t>·</w:t>
      </w:r>
      <w:r>
        <w:tab/>
        <w:t xml:space="preserve">In analyzing a cost to determine whether it commonly or customarily would be incurred by a hypothetical individual owning the same property, the type of product or service </w:t>
      </w:r>
      <w:r>
        <w:lastRenderedPageBreak/>
        <w:t>rendered, rather than the cost, is determinative. Costs that are incurred commonly or customarily by individuals also include expenses that do not depend upon the identity of the payor (in particular, whether the payor is an individual or instead is an estate or trust), such as costs incurred in defense of a claim against the estate, the decedent, or the non</w:t>
      </w:r>
      <w:r>
        <w:noBreakHyphen/>
        <w:t>grantor trust that are unrelated to the existence, validity, or administration of the estate or trust. Prop. Treas. Reg. § 1.67</w:t>
      </w:r>
      <w:r>
        <w:noBreakHyphen/>
        <w:t>4(b)(1).</w:t>
      </w:r>
    </w:p>
    <w:p w:rsidR="00800BE7" w:rsidRDefault="00800BE7">
      <w:pPr>
        <w:widowControl/>
        <w:ind w:left="2160"/>
        <w:jc w:val="both"/>
      </w:pPr>
    </w:p>
    <w:p w:rsidR="00800BE7" w:rsidRDefault="00800BE7">
      <w:pPr>
        <w:widowControl/>
        <w:tabs>
          <w:tab w:val="left" w:pos="-1440"/>
        </w:tabs>
        <w:ind w:left="2880" w:hanging="720"/>
        <w:jc w:val="both"/>
      </w:pPr>
      <w:r>
        <w:t>·</w:t>
      </w:r>
      <w:r>
        <w:tab/>
        <w:t>Ownership costs are subject to the two-percent floor.  Owner</w:t>
      </w:r>
      <w:r>
        <w:softHyphen/>
        <w:t>ship costs are those costs  incurred by an owner of property simply by reason of being the owner of the property, such as condominium fees, real estate taxes, insurance premiums, maintenance and lawn services, automobile registration and insurance costs, and partnership costs deemed to be passed through to and reportable by a partner. Prop. Treas. Reg. § 1.67</w:t>
      </w:r>
      <w:r>
        <w:noBreakHyphen/>
        <w:t>4(b)(2).</w:t>
      </w:r>
    </w:p>
    <w:p w:rsidR="00800BE7" w:rsidRDefault="00800BE7">
      <w:pPr>
        <w:widowControl/>
        <w:ind w:left="2160"/>
        <w:jc w:val="both"/>
      </w:pPr>
    </w:p>
    <w:p w:rsidR="00800BE7" w:rsidRDefault="00800BE7">
      <w:pPr>
        <w:widowControl/>
        <w:tabs>
          <w:tab w:val="left" w:pos="-1440"/>
        </w:tabs>
        <w:ind w:left="2880" w:hanging="720"/>
        <w:jc w:val="both"/>
      </w:pPr>
      <w:r>
        <w:t>·</w:t>
      </w:r>
      <w:r>
        <w:tab/>
        <w:t>Costs of preparing estate and generation</w:t>
      </w:r>
      <w:r>
        <w:noBreakHyphen/>
        <w:t>skipping transfer tax returns, fiduciary income tax returns, and the decedent’s final individual income tax returns are not subject to the two</w:t>
      </w:r>
      <w:r>
        <w:noBreakHyphen/>
        <w:t>percent floor. Prop. Treas. Reg. § 1.67-4(b)(3).</w:t>
      </w:r>
    </w:p>
    <w:p w:rsidR="00800BE7" w:rsidRDefault="00800BE7">
      <w:pPr>
        <w:widowControl/>
        <w:ind w:left="2160"/>
        <w:jc w:val="both"/>
      </w:pPr>
    </w:p>
    <w:p w:rsidR="00800BE7" w:rsidRDefault="00800BE7">
      <w:pPr>
        <w:widowControl/>
        <w:tabs>
          <w:tab w:val="left" w:pos="-1440"/>
        </w:tabs>
        <w:ind w:left="2880" w:hanging="720"/>
        <w:jc w:val="both"/>
      </w:pPr>
      <w:r>
        <w:t>·</w:t>
      </w:r>
      <w:r>
        <w:tab/>
        <w:t>Costs of preparing other individual income tax returns, gift tax returns, and tax returns for a sole proprietorship or a retirement plan, for example, are subject to the two</w:t>
      </w:r>
      <w:r>
        <w:noBreakHyphen/>
        <w:t>percent floor.  Prop. Treas. Reg. § 1.67-4(b)(3).</w:t>
      </w:r>
    </w:p>
    <w:p w:rsidR="00800BE7" w:rsidRDefault="00800BE7">
      <w:pPr>
        <w:widowControl/>
        <w:ind w:left="2160"/>
        <w:jc w:val="both"/>
      </w:pPr>
    </w:p>
    <w:p w:rsidR="00800BE7" w:rsidRDefault="00800BE7">
      <w:pPr>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2880" w:hanging="720"/>
        <w:jc w:val="both"/>
      </w:pPr>
      <w:r>
        <w:lastRenderedPageBreak/>
        <w:t>·</w:t>
      </w:r>
      <w:r>
        <w:tab/>
        <w:t>Any investment advisory fees that exceed those usually charged to an individual investor, because of an unusual investment objective or a specialized balancing of the interests of various parties such that a reasonable comparison with individual investors would be improper, are not subject to the two-percent floor.  Investment costs that do not exceed the costs charged to an individual investor are subject to the two-percent floor.  Prop. Treas. Reg. § 1.67</w:t>
      </w:r>
      <w:r>
        <w:noBreakHyphen/>
        <w:t>4(a).</w:t>
      </w:r>
    </w:p>
    <w:p w:rsidR="00800BE7" w:rsidRDefault="00800BE7">
      <w:pPr>
        <w:widowControl/>
        <w:ind w:left="720"/>
        <w:jc w:val="both"/>
      </w:pPr>
    </w:p>
    <w:p w:rsidR="00800BE7" w:rsidRDefault="00800BE7">
      <w:pPr>
        <w:widowControl/>
        <w:tabs>
          <w:tab w:val="left" w:pos="-1440"/>
        </w:tabs>
        <w:ind w:left="2880" w:hanging="720"/>
        <w:jc w:val="both"/>
      </w:pPr>
      <w:r>
        <w:t>·</w:t>
      </w:r>
      <w:r>
        <w:tab/>
        <w:t>The portion of a bundled fee attributable to investment advice (including any related services that would be provided to any individual investor as part of the investment advisory fee) is subject to the two</w:t>
      </w:r>
      <w:r>
        <w:noBreakHyphen/>
        <w:t>percent floor.  Prop. Treas. Reg. § 1.67- 4(c)(1).</w:t>
      </w:r>
    </w:p>
    <w:p w:rsidR="00800BE7" w:rsidRDefault="00800BE7">
      <w:pPr>
        <w:widowControl/>
        <w:jc w:val="both"/>
      </w:pPr>
    </w:p>
    <w:p w:rsidR="00800BE7" w:rsidRDefault="00800BE7">
      <w:pPr>
        <w:widowControl/>
        <w:tabs>
          <w:tab w:val="left" w:pos="-1440"/>
        </w:tabs>
        <w:ind w:left="2880" w:hanging="720"/>
        <w:jc w:val="both"/>
      </w:pPr>
      <w:r>
        <w:t>·</w:t>
      </w:r>
      <w:r>
        <w:tab/>
        <w:t>Except for the portion of a bundled fee so allocated to invest</w:t>
      </w:r>
      <w:r>
        <w:softHyphen/>
        <w:t xml:space="preserve">ment advice, a fiduciary fee not computed on an hourly basis is </w:t>
      </w:r>
      <w:r>
        <w:lastRenderedPageBreak/>
        <w:t>fully deductible with certain exceptions.  The exceptions are (1) payments made to third parties out of the bundled fee that would have been subject to the two</w:t>
      </w:r>
      <w:r>
        <w:noBreakHyphen/>
        <w:t>percent floor if they had been paid directly by the non</w:t>
      </w:r>
      <w:r>
        <w:noBreakHyphen/>
        <w:t>grantor trust or estate; and (2) payments for expenses separately assessed (in addition to the usual or basic fiduciary fee or commission) by the fiduciary or other service provider that are commonly or customarily incurred by an individual owner of such property.  For example, an additional fee charged by the fiduciary for managing rental real estate owned by the non</w:t>
      </w:r>
      <w:r>
        <w:noBreakHyphen/>
        <w:t>grantor trust or estate would be subject to the two-percent floor.  Prop. Treas. Reg. § 1.67</w:t>
      </w:r>
      <w:r>
        <w:noBreakHyphen/>
        <w:t>4(c)(2).</w:t>
      </w:r>
    </w:p>
    <w:p w:rsidR="00800BE7" w:rsidRDefault="00800BE7">
      <w:pPr>
        <w:widowControl/>
        <w:jc w:val="both"/>
      </w:pPr>
    </w:p>
    <w:p w:rsidR="00800BE7" w:rsidRDefault="00800BE7">
      <w:pPr>
        <w:widowControl/>
        <w:tabs>
          <w:tab w:val="left" w:pos="-1440"/>
        </w:tabs>
        <w:ind w:left="2880" w:hanging="720"/>
        <w:jc w:val="both"/>
      </w:pPr>
      <w:r>
        <w:t>·</w:t>
      </w:r>
      <w:r>
        <w:tab/>
        <w:t>The fiduciary and/or return preparer may use any reasonable method to make these allocations, but the amount of any payment out of the fiduciary’s fee or commission to a third party for expenses subject to the two</w:t>
      </w:r>
      <w:r>
        <w:noBreakHyphen/>
        <w:t>percent floor, and each separately assessed expense that is commonly or customarily incurred by an individual owner of such property, must be separately stated, without regard to the “reasonable method” standard. Prop. Treas. Reg. § 1.67</w:t>
      </w:r>
      <w:r>
        <w:noBreakHyphen/>
        <w:t xml:space="preserve">4(c)(3). </w:t>
      </w:r>
    </w:p>
    <w:p w:rsidR="00800BE7" w:rsidRDefault="00800BE7">
      <w:pPr>
        <w:widowControl/>
        <w:ind w:left="2160"/>
        <w:jc w:val="both"/>
      </w:pPr>
    </w:p>
    <w:p w:rsidR="00800BE7" w:rsidRDefault="00800BE7">
      <w:pPr>
        <w:widowControl/>
        <w:tabs>
          <w:tab w:val="left" w:pos="-1440"/>
        </w:tabs>
        <w:ind w:left="2880" w:hanging="720"/>
        <w:jc w:val="both"/>
        <w:rPr>
          <w:b/>
          <w:bCs/>
        </w:rPr>
      </w:pPr>
      <w:r>
        <w:t>·</w:t>
      </w:r>
      <w:r>
        <w:tab/>
        <w:t>Taxpayers will not be required to determine the portion of a Bundled Fiduciary Fee that is subject to the two</w:t>
      </w:r>
      <w:r>
        <w:noBreakHyphen/>
        <w:t>percent floor for taxable years beginning before the date that these regula</w:t>
      </w:r>
      <w:r>
        <w:softHyphen/>
        <w:t>tions are published as final regulations in the Federal Register.  Prop. Treas. Reg. § 1.67</w:t>
      </w:r>
      <w:r>
        <w:noBreakHyphen/>
        <w:t>4(d).</w:t>
      </w:r>
    </w:p>
    <w:p w:rsidR="00800BE7" w:rsidRDefault="00800BE7">
      <w:pPr>
        <w:widowControl/>
        <w:jc w:val="both"/>
        <w:rPr>
          <w:b/>
          <w:bCs/>
        </w:rPr>
      </w:pPr>
    </w:p>
    <w:p w:rsidR="00800BE7" w:rsidRDefault="00800BE7">
      <w:pPr>
        <w:widowControl/>
        <w:jc w:val="both"/>
        <w:rPr>
          <w:b/>
          <w:bCs/>
        </w:rPr>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Unbundling of Trustee’s Fees Not Required Until Final Regs.  Notice 2011-37, 2011</w:t>
      </w:r>
      <w:r w:rsidR="00800BE7">
        <w:rPr>
          <w:b/>
          <w:bCs/>
        </w:rPr>
        <w:noBreakHyphen/>
        <w:t>20 I.R.B. 785 (April 14, 2011)</w:t>
      </w:r>
      <w:r>
        <w:fldChar w:fldCharType="begin"/>
      </w:r>
      <w:r w:rsidR="00800BE7">
        <w:instrText>tc \l3 "</w:instrText>
      </w:r>
      <w:r w:rsidR="00800BE7">
        <w:rPr>
          <w:b/>
          <w:bCs/>
        </w:rPr>
        <w:instrText>Field result goes here</w:instrText>
      </w:r>
      <w:r w:rsidR="00800BE7">
        <w:rPr>
          <w:b/>
          <w:bCs/>
        </w:rPr>
        <w:tab/>
        <w:instrText>Unbundling of Trustee’s Fees Not Required Until Final Regs.  Notice 2011-37, 2011</w:instrText>
      </w:r>
      <w:r w:rsidR="00800BE7">
        <w:rPr>
          <w:b/>
          <w:bCs/>
        </w:rPr>
        <w:noBreakHyphen/>
        <w:instrText>20 I.R.B. 785 (April 14, 2011)</w:instrText>
      </w:r>
      <w:r>
        <w:fldChar w:fldCharType="end"/>
      </w:r>
    </w:p>
    <w:p w:rsidR="00800BE7" w:rsidRDefault="00800BE7">
      <w:pPr>
        <w:keepNext/>
        <w:keepLines/>
        <w:widowControl/>
        <w:jc w:val="both"/>
      </w:pPr>
    </w:p>
    <w:p w:rsidR="00800BE7" w:rsidRDefault="00800BE7">
      <w:pPr>
        <w:keepLines/>
        <w:widowControl/>
        <w:ind w:left="2160"/>
        <w:jc w:val="both"/>
      </w:pPr>
      <w:r>
        <w:t>The IRS extended until the issuance of final regulations, its earlier decisions that trustees will not be required to unbundle their fees to identify those items, such as investment advice, that are subject to the two percent floor on excess itemized deductions under Section 67(a).  See also Notice 2008</w:t>
      </w:r>
      <w:r>
        <w:noBreakHyphen/>
        <w:t>32, 2008</w:t>
      </w:r>
      <w:r>
        <w:noBreakHyphen/>
        <w:t>14 I.R.B. 593 (March 17, 2008) (adopting this rule for taxable years beginning before January 1, 2008), Notice 2008-116, 2008</w:t>
      </w:r>
      <w:r>
        <w:noBreakHyphen/>
        <w:t>52 I.R.B. 1372 (Dec. 29, 2008) (extending this rule for taxable years beginning before January 1, 2009); and Notice 2010-32, 2010</w:t>
      </w:r>
      <w:r>
        <w:noBreakHyphen/>
        <w:t xml:space="preserve">16 I.R.B. 594 (April 19, 2010) (extending this rule for taxable years beginning before January 1, 2010).  The IRS reiterated its intention to issue final regulations consistent with the Supreme Court's holding in </w:t>
      </w:r>
      <w:r>
        <w:rPr>
          <w:i/>
          <w:iCs/>
        </w:rPr>
        <w:t>Knight v. United States</w:t>
      </w:r>
      <w:r>
        <w:t xml:space="preserve">, 552 U.S. 181 (2008), </w:t>
      </w:r>
      <w:r>
        <w:rPr>
          <w:i/>
          <w:iCs/>
        </w:rPr>
        <w:t>aff’g, Rudkin Testamentary Trust v. Comm’r</w:t>
      </w:r>
      <w:r>
        <w:t xml:space="preserve">, 467 F.3d 149 (2nd Cir. 2006), </w:t>
      </w:r>
      <w:r>
        <w:rPr>
          <w:i/>
          <w:iCs/>
        </w:rPr>
        <w:t xml:space="preserve">rehearing en banc denied </w:t>
      </w:r>
      <w:r>
        <w:t>(2007).  The final regulations will address what the Treasury deems to be the proper treatment of unbundled fiduciary fees that cover both items that are and are not subject to the two percent floor.  For taxable years beginning before the issuance of final regulations, taxpayers may deduct the full amount of the bundled fiduciary fee without regard to the two percent floor.  The two percent floor does apply to ex</w:t>
      </w:r>
      <w:r>
        <w:softHyphen/>
        <w:t>penses that are “readily identifiable”, however, and these expenses must be treated separately from the otherwise bundled fee.</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72.  Life Insurance Policies and Annuities</w:t>
      </w:r>
      <w:r>
        <w:rPr>
          <w:b/>
          <w:bCs/>
        </w:rPr>
        <w:fldChar w:fldCharType="begin"/>
      </w:r>
      <w:r w:rsidR="00800BE7">
        <w:rPr>
          <w:b/>
          <w:bCs/>
        </w:rPr>
        <w:instrText>tc \l2 "Field result goes here</w:instrText>
      </w:r>
      <w:r w:rsidR="00800BE7">
        <w:rPr>
          <w:b/>
          <w:bCs/>
        </w:rPr>
        <w:tab/>
        <w:instrText>Code § 72.  Life Insurance Policies and Annuities</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 xml:space="preserve">Taxpayer Incurs Income on Termination of Encumbered Policy.  </w:t>
      </w:r>
      <w:r>
        <w:rPr>
          <w:rFonts w:ascii="Shruti" w:hAnsi="Shruti" w:cs="Shruti"/>
          <w:b/>
          <w:bCs/>
          <w:i/>
          <w:iCs/>
        </w:rPr>
        <w:t>McGowen v. Comm’r</w:t>
      </w:r>
      <w:r>
        <w:rPr>
          <w:rFonts w:ascii="Shruti" w:hAnsi="Shruti" w:cs="Shruti"/>
          <w:b/>
          <w:bCs/>
        </w:rPr>
        <w:t>, 2011 WL 3873815 (10</w:t>
      </w:r>
      <w:r>
        <w:rPr>
          <w:rFonts w:ascii="Shruti" w:hAnsi="Shruti" w:cs="Shruti"/>
          <w:b/>
          <w:bCs/>
          <w:vertAlign w:val="superscript"/>
        </w:rPr>
        <w:t>th</w:t>
      </w:r>
      <w:r>
        <w:rPr>
          <w:rFonts w:ascii="Shruti" w:hAnsi="Shruti" w:cs="Shruti"/>
          <w:b/>
          <w:bCs/>
        </w:rPr>
        <w:t xml:space="preserve"> Cir. Sept. 2, 2011), aff’g T.C. Memo. 2009-285</w:t>
      </w:r>
      <w:r>
        <w:rPr>
          <w:b/>
          <w:bCs/>
        </w:rPr>
        <w:t xml:space="preserve">  </w:t>
      </w:r>
      <w:r>
        <w:rPr>
          <w:b/>
          <w:bCs/>
          <w:i/>
          <w:iCs/>
        </w:rPr>
        <w:t>Brown v. Comm’r</w:t>
      </w:r>
      <w:r>
        <w:rPr>
          <w:b/>
          <w:bCs/>
        </w:rPr>
        <w:t xml:space="preserve">, T.C. Memo. 2011-83 (April 12, 2011); </w:t>
      </w:r>
      <w:r>
        <w:rPr>
          <w:b/>
          <w:bCs/>
          <w:i/>
          <w:iCs/>
        </w:rPr>
        <w:t>Sanders v. Comm’r</w:t>
      </w:r>
      <w:r>
        <w:rPr>
          <w:b/>
          <w:bCs/>
        </w:rPr>
        <w:t xml:space="preserve">, T.C. Memo. 2010-279 (Dec. 20, 2010); </w:t>
      </w:r>
      <w:r>
        <w:rPr>
          <w:b/>
          <w:bCs/>
          <w:i/>
          <w:iCs/>
        </w:rPr>
        <w:t>Ledger v. Comm’r</w:t>
      </w:r>
      <w:r>
        <w:rPr>
          <w:b/>
          <w:bCs/>
        </w:rPr>
        <w:t>, T.C. Memo. 2011</w:t>
      </w:r>
      <w:r>
        <w:rPr>
          <w:b/>
          <w:bCs/>
        </w:rPr>
        <w:noBreakHyphen/>
        <w:t>183 (Aug. 2, 2011)</w:t>
      </w:r>
      <w:r w:rsidR="00BC7053">
        <w:fldChar w:fldCharType="begin"/>
      </w:r>
      <w:r>
        <w:instrText>tc \l3 "</w:instrText>
      </w:r>
      <w:r>
        <w:rPr>
          <w:b/>
          <w:bCs/>
        </w:rPr>
        <w:instrText xml:space="preserve">Taxpayer Incurs Income on Termination of Encumbered Policy.  </w:instrText>
      </w:r>
      <w:r>
        <w:rPr>
          <w:rFonts w:ascii="Shruti" w:hAnsi="Shruti" w:cs="Shruti"/>
          <w:b/>
          <w:bCs/>
          <w:i/>
          <w:iCs/>
        </w:rPr>
        <w:instrText>McGowen v. Comm’r</w:instrText>
      </w:r>
      <w:r>
        <w:rPr>
          <w:rFonts w:ascii="Shruti" w:hAnsi="Shruti" w:cs="Shruti"/>
          <w:b/>
          <w:bCs/>
        </w:rPr>
        <w:instrText>, 2011 WL 3873815 (10</w:instrText>
      </w:r>
      <w:r>
        <w:rPr>
          <w:rFonts w:ascii="Shruti" w:hAnsi="Shruti" w:cs="Shruti"/>
          <w:b/>
          <w:bCs/>
          <w:vertAlign w:val="superscript"/>
        </w:rPr>
        <w:instrText>th</w:instrText>
      </w:r>
      <w:r>
        <w:rPr>
          <w:rFonts w:ascii="Shruti" w:hAnsi="Shruti" w:cs="Shruti"/>
          <w:b/>
          <w:bCs/>
        </w:rPr>
        <w:instrText xml:space="preserve"> Cir. Sept. 2, 2011), aff’g T.C. Memo. 2009-285</w:instrText>
      </w:r>
      <w:r>
        <w:rPr>
          <w:b/>
          <w:bCs/>
        </w:rPr>
        <w:instrText xml:space="preserve">  </w:instrText>
      </w:r>
      <w:r>
        <w:rPr>
          <w:b/>
          <w:bCs/>
          <w:i/>
          <w:iCs/>
        </w:rPr>
        <w:instrText>Brown v. Comm’r</w:instrText>
      </w:r>
      <w:r>
        <w:rPr>
          <w:b/>
          <w:bCs/>
        </w:rPr>
        <w:instrText xml:space="preserve">, T.C. Memo. 2011-83 (April 12, 2011); </w:instrText>
      </w:r>
      <w:r>
        <w:rPr>
          <w:b/>
          <w:bCs/>
          <w:i/>
          <w:iCs/>
        </w:rPr>
        <w:instrText>Sanders v. Comm’r</w:instrText>
      </w:r>
      <w:r>
        <w:rPr>
          <w:b/>
          <w:bCs/>
        </w:rPr>
        <w:instrText xml:space="preserve">, T.C. Memo. 2010-279 (Dec. 20, 2010); </w:instrText>
      </w:r>
      <w:r>
        <w:rPr>
          <w:b/>
          <w:bCs/>
          <w:i/>
          <w:iCs/>
        </w:rPr>
        <w:instrText>Ledger v. Comm’r</w:instrText>
      </w:r>
      <w:r>
        <w:rPr>
          <w:b/>
          <w:bCs/>
        </w:rPr>
        <w:instrText>, T.C. Memo. 2011</w:instrText>
      </w:r>
      <w:r>
        <w:rPr>
          <w:b/>
          <w:bCs/>
        </w:rPr>
        <w:noBreakHyphen/>
        <w:instrText>183 (Aug. 2, 2011)</w:instrText>
      </w:r>
      <w:r w:rsidR="00BC7053">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tabs>
          <w:tab w:val="left" w:pos="-1440"/>
        </w:tabs>
        <w:ind w:left="2160" w:hanging="720"/>
        <w:jc w:val="both"/>
      </w:pPr>
      <w:r>
        <w:rPr>
          <w:b/>
          <w:bCs/>
        </w:rPr>
        <w:lastRenderedPageBreak/>
        <w:t>·</w:t>
      </w:r>
      <w:r>
        <w:rPr>
          <w:b/>
          <w:bCs/>
        </w:rPr>
        <w:tab/>
      </w:r>
      <w:r>
        <w:rPr>
          <w:b/>
          <w:bCs/>
          <w:i/>
          <w:iCs/>
        </w:rPr>
        <w:t>McGowen</w:t>
      </w:r>
      <w:r>
        <w:rPr>
          <w:b/>
          <w:bCs/>
        </w:rPr>
        <w:t>.</w:t>
      </w:r>
      <w:r>
        <w:t xml:space="preserve">  Carolyn McGowen bought a single</w:t>
      </w:r>
      <w:r>
        <w:noBreakHyphen/>
        <w:t>premium variable life insurance policy on her own life for $500,000.  The policy provided a death benefit equal to the investments made by the insurer, plus a guaranteed amount, minus the policy debts incurred.   Carolyn could cancel the policy and receive its net cash (surrender) value at any time.  The net cash surrender value was the cash value, less any policy debt.  The policy permitted Carolyn to borrow money at a 5.25 percent annual interest rate.  The policy stated that any amount borrowed would cause a withdrawal of that amount from the invest</w:t>
      </w:r>
      <w:r>
        <w:softHyphen/>
        <w:t>ments and an allocation of that fund to a separate general account, where it would earn a 4.5 percent annual rate of return.  Carolyn repeatedly borrowed from the policy, and the insurer periodically notified her that her investment base, net cash surrender value, and death benefits would be decreased by the amount of the loans and accrued interest, and that the policy would be terminated if the loans and interest exceeded the cash value of the policy. On March 1, 2004, the insurer issued a notice warning Carolyn that her outstanding policy debt had exceeded the insurance policy's cash value and that the policy would be terminated within thirty</w:t>
      </w:r>
      <w:r>
        <w:noBreakHyphen/>
        <w:t>one days if she did not pay $108,313.42.  That notice also stated that the cancellation of the insurance policy would be a taxable event, and that Carolyn would recognize a $562,746.04 gain, as of February 28, 2004.  Carolyn did not make the payment. On March 30, 2004, the insurer sent a letter informing Carolyn of the cancellation of the policy and the issuance of an IRS Form 1099</w:t>
      </w:r>
      <w:r>
        <w:noBreakHyphen/>
        <w:t>R (“Distributions From Pensions, Annuities, Retirement or Profit</w:t>
      </w:r>
      <w:r>
        <w:noBreakHyphen/>
        <w:t>Sharing Plans, IRAs, Insurance, Contracts, etc.”), reporting a gain of $565,224.11.</w:t>
      </w:r>
    </w:p>
    <w:p w:rsidR="00800BE7" w:rsidRDefault="00800BE7">
      <w:pPr>
        <w:keepLines/>
        <w:widowControl/>
        <w:tabs>
          <w:tab w:val="left" w:pos="-1440"/>
        </w:tabs>
        <w:ind w:left="216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Tax Court (Judge Paris) held that Carolyn recognized gain on the termination of the policy.  The court explained that Section 61 specifically states that gross income includes any income from a life insurance contract and income from a discharge of indebtedness. </w:t>
      </w:r>
      <w:r>
        <w:rPr>
          <w:i/>
          <w:iCs/>
        </w:rPr>
        <w:t>Ohio Nat'l Life Assur. Corp. v. Langkau</w:t>
      </w:r>
      <w:r>
        <w:t>, 33 Fed. Appx. 244, 2009 WL 3824789 (11th Cir. Nov. 17, 2009).  The Tax Court held that the McGowens received income attributable to the termination of their variable life insurance policy pursuant to Section 72(e).  For federal income tax purposes, the policy loans were true loans. See</w:t>
      </w:r>
      <w:r>
        <w:rPr>
          <w:i/>
          <w:iCs/>
        </w:rPr>
        <w:t xml:space="preserve"> Atwood v. Comm'r</w:t>
      </w:r>
      <w:r>
        <w:t>, T.C. Memo. 1999</w:t>
      </w:r>
      <w:r>
        <w:noBreakHyphen/>
        <w:t xml:space="preserve">61. The McGowens would not have had to recognize these loans as taxable income when they received them. </w:t>
      </w:r>
      <w:r>
        <w:rPr>
          <w:i/>
          <w:iCs/>
        </w:rPr>
        <w:t>Comm'r v. Indianapolis Power &amp; Light Co.</w:t>
      </w:r>
      <w:r>
        <w:t>, 493 U.S. 203, 207</w:t>
      </w:r>
      <w:r>
        <w:noBreakHyphen/>
        <w:t xml:space="preserve">208 (1990); </w:t>
      </w:r>
      <w:r>
        <w:rPr>
          <w:i/>
          <w:iCs/>
        </w:rPr>
        <w:t>Comm'r v. Tufts</w:t>
      </w:r>
      <w:r>
        <w:t xml:space="preserve">, 461 U.S. 300, 307 (1983).  The court noted that a discharge of indebtedness occurs when "the debtor is no longer legally required to satisfy his debt either in part or in full."  </w:t>
      </w:r>
      <w:r>
        <w:rPr>
          <w:i/>
          <w:iCs/>
        </w:rPr>
        <w:t>Caton v. Comm'r</w:t>
      </w:r>
      <w:r>
        <w:t>, T.C. Memo. 1995</w:t>
      </w:r>
      <w:r>
        <w:noBreakHyphen/>
        <w:t xml:space="preserve">80; </w:t>
      </w:r>
      <w:r>
        <w:rPr>
          <w:i/>
          <w:iCs/>
        </w:rPr>
        <w:t>U.S. v. Centennial Savs. Bank FSB</w:t>
      </w:r>
      <w:r>
        <w:t>, 499 U.S. 573, 580</w:t>
      </w:r>
      <w:r>
        <w:noBreakHyphen/>
        <w:t xml:space="preserve">581 (1991).  The record here indicated that the </w:t>
      </w:r>
      <w:r>
        <w:lastRenderedPageBreak/>
        <w:t>loans were not discharged: they were extinguished after the insurer had applied the cash value of the insurance policy towards the debt owed by her. The insurance policy itself was the sole collateral for which the insurer can seek repayment of the amount she borrowed. Thus, the court stated that the McGowens' argument that the income, if derived from the discharge of indebtedness, should be excluded from their gross income under Section 108(g), was moot.  The record supported the characterization of the McGowens' income as having been received from a life insurance contract, and any distribution from the policy would be taxed under Section 72(e)(1), which requires that a taxpayer include in his gross income any amount that is received under an annuity, endowment, or life insurance contract and is not received as an annuity (limited by Section 72(e)(5) to the amount exceeding the taxpayer's investment in the contract).  Carolyn never received any direct distributions from her life insurance policy, but the court held that she and her husband as joint taxpayers must recognize the indirect distribution of income she received from her insurance policy under Section 72(e).  When the policy terminated, the loans, including capitalized interest, were charged against the available proceeds. This satisfaction of the loans had the effect of a pro tanto payment of the policy proceeds to the McGowens and constituted income to them at that time. Concluding otherwise would, the court stated, permit policy proceeds, including previously untaxed invest</w:t>
      </w:r>
      <w:r>
        <w:softHyphen/>
        <w:t>ment returns, to escape tax altogether.  The distributed policy proceeds attributed to the return on investments must be taxed because the accruals on the investments (inside build</w:t>
      </w:r>
      <w:r>
        <w:noBreakHyphen/>
        <w:t>up) were not previously taxed.</w:t>
      </w:r>
    </w:p>
    <w:p w:rsidR="00800BE7" w:rsidRDefault="00800BE7">
      <w:pPr>
        <w:widowControl/>
        <w:ind w:left="2160" w:firstLine="720"/>
        <w:jc w:val="both"/>
      </w:pPr>
      <w:r>
        <w:t>The Tenth Circuit (Judge O’Brien) affirmed.  The taxpayers contended that the Tax Court erred because the debt exceeded the face amount of the policy, so that their debt was discharged by the policy termination and any gain was excludable from taxation due to their insolvency.  The Tax Court had not addressed the issue of insolvency, but the court stated that the record was sufficient to conclude, as a matter of law, that the insolvency exception did not apply in this case.  The court noted that Section 108(d)(3) defines the term “insolvent,” for this purpose, as “the excess of liabilities over the fair market value of assets.  With respect to any discharge, whether or not the taxpayer is insolvent, and the amount by which the taxpayer is insolvent, shall be determined on the basis of the taxpayer's assets and liabilities immediately before the discharge.”  The court concluded that:</w:t>
      </w:r>
    </w:p>
    <w:p w:rsidR="00800BE7" w:rsidRDefault="00800BE7">
      <w:pPr>
        <w:widowControl/>
        <w:jc w:val="both"/>
      </w:pPr>
    </w:p>
    <w:p w:rsidR="00800BE7" w:rsidRDefault="00800BE7">
      <w:pPr>
        <w:widowControl/>
        <w:ind w:left="2880" w:right="720"/>
        <w:jc w:val="both"/>
      </w:pPr>
      <w:r>
        <w:t xml:space="preserve">[c]ontrary to the McGowens' assertions that the policy debt rendered them insolvent, they owed nothing if they made no payment prior to the policy's termination. The </w:t>
      </w:r>
      <w:r>
        <w:lastRenderedPageBreak/>
        <w:t>insurance contract limited the insurance company's ability to recoup payment of the debt on the contract to Carolyn McGowen's initial investment and the proceeds earned from that investment. . . . The McGowens were solvent immediately before the cancellation of the policy and Section 108(d)(3) is inapplicable.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2160" w:hanging="720"/>
        <w:jc w:val="both"/>
      </w:pPr>
      <w:r>
        <w:rPr>
          <w:b/>
          <w:bCs/>
        </w:rPr>
        <w:lastRenderedPageBreak/>
        <w:t>·</w:t>
      </w:r>
      <w:r>
        <w:rPr>
          <w:b/>
          <w:bCs/>
        </w:rPr>
        <w:tab/>
      </w:r>
      <w:r>
        <w:rPr>
          <w:b/>
          <w:bCs/>
          <w:i/>
          <w:iCs/>
        </w:rPr>
        <w:t>Sanders</w:t>
      </w:r>
      <w:r>
        <w:rPr>
          <w:b/>
          <w:bCs/>
        </w:rPr>
        <w:t>.</w:t>
      </w:r>
      <w:r>
        <w:t xml:space="preserve">  John Morgan Sanders bought a $25,000 face amount whole life insurance policy from New York Life Ins. Co. in 1979, and paid premiums of $31 per month until March, 2006.  Between 1990 and 2004, John borrowed against the policy, which was permitted under the policy terms.  His loans were made at an eight percent interest rate, with any accrued but unpaid interest added to the loan and bearing interest at the same rate.  By its terms the policy terminated if any unpaid loan, including accrued interest, exceeded the sum of the policy’s cash value and any dividend accumulations.  In 2006, the loan balance, including interest, exceeded $17,200, which was more than the policy’s cash value.  The company terminated the policy.  John received no cash on the termination.  New York Life issued John a Form 1099-R, “Distributions From Pensions, Annuities, Retirement or Profit</w:t>
      </w:r>
      <w:r>
        <w:noBreakHyphen/>
        <w:t>Sharing Plans, IRAs, Insurance Contracts, etc.”, for 2006, reporting a gross distribution of $17,292, and a taxable amount of $7,175 (the gross amount, less the $10,117 of insurance premiums paid).  Believing that this was incorrect, John did not report the $7,175 of income, and the IRS assessed a deficiency.</w:t>
      </w:r>
    </w:p>
    <w:p w:rsidR="00800BE7" w:rsidRDefault="00800BE7">
      <w:pPr>
        <w:widowControl/>
        <w:ind w:left="2160" w:firstLine="720"/>
        <w:jc w:val="both"/>
      </w:pPr>
      <w:r>
        <w:t xml:space="preserve">The Tax Court (Judge Thornton), held for the IRS.  The taxpayer’s arguments were actually quite lame.  He stated that he had never borrowed against the policy, but merely withdrawn his cash values.  The policy, however, did not allow withdrawal of cash values, but only loans, and for tax purposes, they were properly characterized as such.  </w:t>
      </w:r>
      <w:r>
        <w:rPr>
          <w:i/>
          <w:iCs/>
        </w:rPr>
        <w:t>Atwood v. Comm’r</w:t>
      </w:r>
      <w:r>
        <w:t>, T.C. Memo. 1999-61.  The stipulated documentation showed the loan history that corroborated with the information reported on the Form 1099</w:t>
      </w:r>
      <w:r>
        <w:noBreakHyphen/>
        <w:t xml:space="preserve">R.  The court held that the taxpayer could be taxed on the discharged indebtedness even though he received no cash distribution when the policy terminated.  The court noted that Section 72(e) states that any amount received during the insured’s lifetime in connection with a life insurance contract which is not received as an annuity generally constitutes gross income to the extent that the amount received exceeds the investment in the insurance contract.  When it terminated petitioner’s policy, New York Life applied the policy’s cash value to the outstanding balance on the policy loans, which was economically equivalent to paying the taxpayer the policy proceeds, including untaxed inside buildup, and his using those proceeds to pay off the policy loans.  This was a </w:t>
      </w:r>
      <w:r>
        <w:lastRenderedPageBreak/>
        <w:t xml:space="preserve">constructive distribution includible in gross income, to the extent it exceeded the taxpayer’s investment in the contract.  See </w:t>
      </w:r>
      <w:r>
        <w:rPr>
          <w:i/>
          <w:iCs/>
        </w:rPr>
        <w:t>McGowen v. Comm’r</w:t>
      </w:r>
      <w:r>
        <w:t>, T.C. Memo. 2009</w:t>
      </w:r>
      <w:r>
        <w:noBreakHyphen/>
        <w:t xml:space="preserve">285; </w:t>
      </w:r>
      <w:r>
        <w:rPr>
          <w:i/>
          <w:iCs/>
        </w:rPr>
        <w:t>Atwood v. Comm’r</w:t>
      </w:r>
      <w:r>
        <w:t xml:space="preserve">, </w:t>
      </w:r>
      <w:r>
        <w:rPr>
          <w:i/>
          <w:iCs/>
        </w:rPr>
        <w:t>supra</w:t>
      </w:r>
      <w:r>
        <w:t xml:space="preserve">; </w:t>
      </w:r>
      <w:r>
        <w:rPr>
          <w:i/>
          <w:iCs/>
        </w:rPr>
        <w:t>Dean v. Comm’r</w:t>
      </w:r>
      <w:r>
        <w:t>, T.C. Memo. 1993</w:t>
      </w:r>
      <w:r>
        <w:noBreakHyphen/>
        <w:t>226.</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2160" w:hanging="720"/>
        <w:jc w:val="both"/>
      </w:pPr>
      <w:r>
        <w:rPr>
          <w:b/>
          <w:bCs/>
        </w:rPr>
        <w:lastRenderedPageBreak/>
        <w:t>·</w:t>
      </w:r>
      <w:r>
        <w:rPr>
          <w:b/>
          <w:bCs/>
        </w:rPr>
        <w:tab/>
      </w:r>
      <w:r>
        <w:rPr>
          <w:b/>
          <w:bCs/>
          <w:i/>
          <w:iCs/>
        </w:rPr>
        <w:t>Brown</w:t>
      </w:r>
      <w:r>
        <w:rPr>
          <w:b/>
          <w:bCs/>
        </w:rPr>
        <w:t>.</w:t>
      </w:r>
      <w:r>
        <w:t xml:space="preserve">  Bruce Brown bought a $100,000 life insurance contract with a $1,837 annual premium.  Initially the taxpayer did not direct the dividends’ use, so Northwestern applied them to purchase paid</w:t>
      </w:r>
      <w:r>
        <w:noBreakHyphen/>
        <w:t>up additional insurance, but in 2004, the taxpayer elected to have the insurer apply dividends first to premiums and then to policy debt.  The taxpayer kept borrowing against the policy cash values to pay premiums and interest on the loans, and finally, the insurer terminated the policy and applied the entire $37,356.06 cash value to pay the debt outstanding against the policy.  The insurer sent a Form 1099-R, showing a distribution of $37,365.06 and a taxable amount of $29,093.30, but the taxpayer did not include any amount in gross income.  The IRS assessed a deficiency, based on a recognition of $29,093.30 on the termination.</w:t>
      </w:r>
    </w:p>
    <w:p w:rsidR="00800BE7" w:rsidRDefault="00800BE7">
      <w:pPr>
        <w:widowControl/>
        <w:ind w:left="2160" w:firstLine="720"/>
        <w:jc w:val="both"/>
      </w:pPr>
      <w:r>
        <w:t xml:space="preserve">The Tax Court (Judge Morrison) held for the IRS.  The court noted that, for federal income tax purposes, loans against a life insurance contract's cash value are true loans from the insurance company to the policyholder. </w:t>
      </w:r>
      <w:r>
        <w:rPr>
          <w:i/>
          <w:iCs/>
        </w:rPr>
        <w:t>Minnis v. Comm’r</w:t>
      </w:r>
      <w:r>
        <w:t xml:space="preserve">, 71 T.C. 1049, 1054 (1979); </w:t>
      </w:r>
      <w:r>
        <w:rPr>
          <w:i/>
          <w:iCs/>
        </w:rPr>
        <w:t>Sanders v. Comm’r</w:t>
      </w:r>
      <w:r>
        <w:t>, T.C. Memo. 2010</w:t>
      </w:r>
      <w:r>
        <w:noBreakHyphen/>
        <w:t xml:space="preserve">279; </w:t>
      </w:r>
      <w:r>
        <w:rPr>
          <w:i/>
          <w:iCs/>
        </w:rPr>
        <w:t>McGowen v. Comm’r</w:t>
      </w:r>
      <w:r>
        <w:t>, T.C. Memo. 2009</w:t>
      </w:r>
      <w:r>
        <w:noBreakHyphen/>
        <w:t xml:space="preserve">285; </w:t>
      </w:r>
      <w:r>
        <w:rPr>
          <w:i/>
          <w:iCs/>
        </w:rPr>
        <w:t>Barr v. Comm’r</w:t>
      </w:r>
      <w:r>
        <w:t>, T.C. Memo. 2009</w:t>
      </w:r>
      <w:r>
        <w:noBreakHyphen/>
        <w:t xml:space="preserve">250; </w:t>
      </w:r>
      <w:r>
        <w:rPr>
          <w:i/>
          <w:iCs/>
        </w:rPr>
        <w:t>Atwood v. Comm’r</w:t>
      </w:r>
      <w:r>
        <w:t>, T.C. Memo. 1999</w:t>
      </w:r>
      <w:r>
        <w:noBreakHyphen/>
        <w:t xml:space="preserve">61. Using the policy's cash values or proceeds to satisfy the loans has the same effect as paying the proceeds directly to the policyholder. Therefore, the termination of the policy in extinguishment of the debt equal to the cash values was a constructive distribution of that amount to the taxpayer, even though no cash was actually distributed.  Amounts received under a life insurance contract before the death of the insured are taxable under Section 72.  Therefore, as the payment was not an annuity, so under Section 72(e)(5), the taxpayer must include the amount of the distribution, less the taxpayer’s investment in the contract.  The investment in the contract, in this case, would be the total premiums or other consideration paid, less the total amount received under the contract and excludable from gross income. </w:t>
      </w:r>
    </w:p>
    <w:p w:rsidR="00800BE7" w:rsidRDefault="00800BE7">
      <w:pPr>
        <w:widowControl/>
        <w:ind w:left="2160" w:firstLine="720"/>
        <w:jc w:val="both"/>
      </w:pPr>
      <w:r>
        <w:t>The court also agreed that the taxpayers were liable for a 20% accuracy</w:t>
      </w:r>
      <w:r>
        <w:noBreakHyphen/>
        <w:t>related penalty under Section 6662 for substantial under</w:t>
      </w:r>
      <w:r>
        <w:softHyphen/>
        <w:t>statement of income tax.</w:t>
      </w:r>
    </w:p>
    <w:p w:rsidR="00800BE7" w:rsidRDefault="00800BE7">
      <w:pPr>
        <w:widowControl/>
        <w:jc w:val="both"/>
      </w:pPr>
    </w:p>
    <w:p w:rsidR="00800BE7" w:rsidRDefault="00800BE7">
      <w:pPr>
        <w:widowControl/>
        <w:tabs>
          <w:tab w:val="left" w:pos="-1440"/>
        </w:tabs>
        <w:ind w:left="2160" w:hanging="720"/>
        <w:jc w:val="both"/>
      </w:pPr>
      <w:r>
        <w:rPr>
          <w:b/>
          <w:bCs/>
          <w:i/>
          <w:iCs/>
        </w:rPr>
        <w:t>·</w:t>
      </w:r>
      <w:r>
        <w:rPr>
          <w:b/>
          <w:bCs/>
          <w:i/>
          <w:iCs/>
        </w:rPr>
        <w:tab/>
        <w:t>Ledger.</w:t>
      </w:r>
      <w:r>
        <w:rPr>
          <w:i/>
          <w:iCs/>
        </w:rPr>
        <w:t xml:space="preserve"> </w:t>
      </w:r>
      <w:r>
        <w:t xml:space="preserve"> James Ledger bought a life insurance policy that was payable upon either the taxpayer’s death or his reaching age 65.  The taxpayer took 14 loans against the policy, and as of May 27, 2005, the </w:t>
      </w:r>
      <w:r>
        <w:lastRenderedPageBreak/>
        <w:t>loan balance and accrued interest totaled $56,219.61.  The policy matured on April 12, 2006, with a gross maturity value of $61,787.72, and the insurer paid The taxpayer $5,568.11 (gross maturity value over the loan balance).  The insurer determined The taxpayer’s investment in the contract at the time of maturity to be $20,780.03.  The insurer issued a Form 1099</w:t>
      </w:r>
      <w:r>
        <w:noBreakHyphen/>
        <w:t>R, “Distributions From Pensions, Annuities, Retirement or Profit</w:t>
      </w:r>
      <w:r>
        <w:noBreakHyphen/>
        <w:t>Sharing Plans, IRAs, Insurance Contracts, etc.” identifying taxable distributions of $40,992.28 (maturity value considered for gain over cost basis).  The IRS assessed a $7,184 deficiency and a Section 6662(a) accuracy</w:t>
      </w:r>
      <w:r>
        <w:noBreakHyphen/>
        <w:t xml:space="preserve">related penalty. </w:t>
      </w:r>
    </w:p>
    <w:p w:rsidR="00800BE7" w:rsidRDefault="00800BE7">
      <w:pPr>
        <w:widowControl/>
        <w:tabs>
          <w:tab w:val="left" w:pos="-1440"/>
        </w:tabs>
        <w:ind w:left="216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Tax Court (Judge Wherry) held for the IRS.  The court noted that, for Federal income tax purposes, loans against a life insurance contract’s cash value are treated as true loans from the insurance company to the policyholder with the policy serving as collateral.  See </w:t>
      </w:r>
      <w:r>
        <w:rPr>
          <w:i/>
          <w:iCs/>
        </w:rPr>
        <w:t>Minnis v. Comm’r</w:t>
      </w:r>
      <w:r>
        <w:t xml:space="preserve">, 71 T.C. 1049, 1054 (1979); </w:t>
      </w:r>
      <w:r>
        <w:rPr>
          <w:i/>
          <w:iCs/>
        </w:rPr>
        <w:t>Sanders v. Comm’r</w:t>
      </w:r>
      <w:r>
        <w:t>, T.C. Memo. 2010</w:t>
      </w:r>
      <w:r>
        <w:noBreakHyphen/>
        <w:t xml:space="preserve">279; </w:t>
      </w:r>
      <w:r>
        <w:rPr>
          <w:i/>
          <w:iCs/>
        </w:rPr>
        <w:t>Atwood v. Comm’r</w:t>
      </w:r>
      <w:r>
        <w:t>, T.C. Memo. 1999</w:t>
      </w:r>
      <w:r>
        <w:noBreakHyphen/>
        <w:t xml:space="preserve">61.  Thus, using the policy’s proceeds to satisfy the loans has the same effect as paying the proceeds directly to the policyholder.  </w:t>
      </w:r>
      <w:r>
        <w:rPr>
          <w:i/>
          <w:iCs/>
        </w:rPr>
        <w:t>Atwood v. Comm’r</w:t>
      </w:r>
      <w:r>
        <w:t>, T.C. Memo. 1999</w:t>
      </w:r>
      <w:r>
        <w:noBreakHyphen/>
        <w:t>61.  The court explained:</w:t>
      </w:r>
    </w:p>
    <w:p w:rsidR="00800BE7" w:rsidRDefault="00800BE7">
      <w:pPr>
        <w:widowControl/>
        <w:jc w:val="both"/>
      </w:pPr>
    </w:p>
    <w:p w:rsidR="00800BE7" w:rsidRDefault="00800BE7">
      <w:pPr>
        <w:widowControl/>
        <w:ind w:left="2880" w:right="720" w:firstLine="720"/>
        <w:jc w:val="both"/>
      </w:pPr>
      <w:r>
        <w:t xml:space="preserve">When it terminated Mr. Ledger’s policy in 2006, Prudential applied the policy’s maturity value to the outstanding balance on the policy loans.  That action was the economic equivalent of Prudential’s paying petitioners the policy proceeds, including untaxed inside buildup, and petitioners’ using most of those proceeds to pay off the policy loans.  This constructive distribution is pro tanto a payment of the policy proceeds and as such is gross income to petitioners insofar as it exceeds their investment in the contract. </w:t>
      </w:r>
    </w:p>
    <w:p w:rsidR="00800BE7" w:rsidRDefault="00800BE7">
      <w:pPr>
        <w:widowControl/>
        <w:jc w:val="both"/>
      </w:pPr>
    </w:p>
    <w:p w:rsidR="00800BE7" w:rsidRDefault="00800BE7">
      <w:pPr>
        <w:widowControl/>
        <w:ind w:left="2160"/>
        <w:jc w:val="both"/>
      </w:pPr>
      <w:r>
        <w:t>The court concluded that the evidence showed that, when the policy matured in 2006, its cash value for income tax purposes was $61,772.31, and the taxpayer’s investment in the policy was $20,780.03.  Therefore, the taxpayer received $40,992.28 as a constructive distribution, taxable as income.</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101.  Income Taxation of Life Insurance Proceeds</w:t>
      </w:r>
      <w:r>
        <w:fldChar w:fldCharType="begin"/>
      </w:r>
      <w:r w:rsidR="00800BE7">
        <w:instrText>tc \l2 "</w:instrText>
      </w:r>
      <w:r w:rsidR="00800BE7">
        <w:rPr>
          <w:b/>
          <w:bCs/>
        </w:rPr>
        <w:instrText>Field result goes here</w:instrText>
      </w:r>
      <w:r w:rsidR="00800BE7">
        <w:rPr>
          <w:b/>
          <w:bCs/>
        </w:rPr>
        <w:tab/>
        <w:instrText>Code § 101.  Income Taxation of Life Insurance Proceeds</w:instrText>
      </w:r>
      <w:r>
        <w:fldChar w:fldCharType="end"/>
      </w:r>
    </w:p>
    <w:p w:rsidR="00800BE7" w:rsidRDefault="00800BE7">
      <w:pPr>
        <w:keepNext/>
        <w:keepLines/>
        <w:widowControl/>
        <w:jc w:val="both"/>
      </w:pPr>
    </w:p>
    <w:p w:rsidR="00800BE7" w:rsidRDefault="00800BE7">
      <w:pPr>
        <w:keepNext/>
        <w:keepLines/>
        <w:widowControl/>
        <w:ind w:left="1440"/>
        <w:jc w:val="both"/>
      </w:pPr>
      <w:r>
        <w:rPr>
          <w:b/>
          <w:bCs/>
        </w:rPr>
        <w:t>Treasury Would Require Reporting of Transactions Related to Sale of Life Insurance Policies.  Dept. of Treasury, “General Explanations of the Administration’s Fiscal Year 2012 Revenue Proposals” p. 51 (Feb. 14, 2011)</w:t>
      </w:r>
      <w:r w:rsidR="00BC7053">
        <w:fldChar w:fldCharType="begin"/>
      </w:r>
      <w:r>
        <w:instrText>tc \l3 "</w:instrText>
      </w:r>
      <w:r>
        <w:rPr>
          <w:b/>
          <w:bCs/>
        </w:rPr>
        <w:instrText>Treasury Would Require Reporting of Transactions Related to Sale of Life Insurance Policies.  Dept. of Treasury, “General Explanations of the Administration’s Fiscal Year 2012 Revenue Proposals” p. 51 (Feb. 14, 2011)</w:instrText>
      </w:r>
      <w:r w:rsidR="00BC7053">
        <w:fldChar w:fldCharType="end"/>
      </w:r>
    </w:p>
    <w:p w:rsidR="00800BE7" w:rsidRDefault="00800BE7">
      <w:pPr>
        <w:keepNext/>
        <w:keepLines/>
        <w:widowControl/>
        <w:jc w:val="both"/>
      </w:pPr>
    </w:p>
    <w:p w:rsidR="00800BE7" w:rsidRDefault="00800BE7">
      <w:pPr>
        <w:keepLines/>
        <w:widowControl/>
        <w:ind w:left="1440"/>
        <w:jc w:val="both"/>
      </w:pPr>
      <w:r>
        <w:t>The Administration's fiscal year 2012 budget (like its 2011 budget) proposes that a person or entity who buys an interest in an existing life insurance contract with a death benefit equal or exceeding $500,000 (2010 proposal set figure at $1 million) should be required to report the purchase price, the buyer's and seller's taxpayer identification numbers (TINs), and the issuer and policy number to the IRS, to the insurance company that issued the policy, and to the seller.  This proposal also would modify the transfer-for-value rules "to ensure that exceptions to that rule would not apply to buyers of policies."  Furthermore, upon payment of any policy benefit to the buyer, the insurance company would be required to report the gross benefit payment, the buyer's TIN, and the insurance company's estimate of the buyer's basis to the IRS and to the payee.</w:t>
      </w:r>
    </w:p>
    <w:p w:rsidR="00800BE7" w:rsidRDefault="00800BE7">
      <w:pPr>
        <w:keepLines/>
        <w:widowControl/>
        <w:ind w:left="1440"/>
        <w:jc w:val="both"/>
        <w:sectPr w:rsidR="00800BE7">
          <w:type w:val="continuous"/>
          <w:pgSz w:w="12240" w:h="15840"/>
          <w:pgMar w:top="1440" w:right="1440" w:bottom="1440" w:left="1435" w:header="1440" w:footer="1440" w:gutter="0"/>
          <w:cols w:space="720"/>
          <w:noEndnote/>
        </w:sectPr>
      </w:pPr>
    </w:p>
    <w:p w:rsidR="00800BE7" w:rsidRDefault="00800BE7">
      <w:pPr>
        <w:widowControl/>
        <w:ind w:left="1440" w:firstLine="720"/>
        <w:jc w:val="both"/>
      </w:pPr>
      <w:r>
        <w:lastRenderedPageBreak/>
        <w:t>If enacted, this proposal would apply to sales or assignments of interests in life insurance policies and to payments of death benefits for taxable years beginning after December 31, 2010.</w:t>
      </w:r>
    </w:p>
    <w:p w:rsidR="00800BE7" w:rsidRDefault="00800BE7">
      <w:pPr>
        <w:widowControl/>
        <w:ind w:left="1440" w:firstLine="720"/>
        <w:jc w:val="both"/>
      </w:pPr>
      <w:r>
        <w:rPr>
          <w:b/>
          <w:bCs/>
        </w:rPr>
        <w:t>Note.</w:t>
      </w:r>
      <w:r>
        <w:t xml:space="preserve">  This proposal is intended to facilitate treating life insurance proceeds as ordinary income when the policies are bought in a transfer for value.  The IRS has difficult enforcing the transfer-for-value rules currently, because they do not receive information about the identity of parties to transfers of contracts, amounts paid for transferred contracts, and payments under transferred contracts currently.  See analysis of the Treasury's proposal in Staff of the Joint Committee on Taxation, 111th Cong., 1st Sess., "Description of Revenue Provisions Contained in the President’s Fiscal Year 2010 Budget Proposal. Part Two: Business Tax Provisions," at 133-136  (Committee Print) (Sept. 2009).</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1440" w:hanging="720"/>
        <w:jc w:val="both"/>
      </w:pPr>
      <w:r>
        <w:rPr>
          <w:b/>
          <w:bCs/>
        </w:rPr>
        <w:fldChar w:fldCharType="begin"/>
      </w:r>
      <w:r w:rsidR="00800BE7">
        <w:rPr>
          <w:b/>
          <w:bCs/>
        </w:rPr>
        <w:instrText>LISTNUM Outline \l 2</w:instrText>
      </w:r>
      <w:r>
        <w:rPr>
          <w:b/>
          <w:bCs/>
        </w:rPr>
        <w:fldChar w:fldCharType="end"/>
      </w:r>
      <w:r w:rsidR="00800BE7">
        <w:rPr>
          <w:b/>
          <w:bCs/>
        </w:rPr>
        <w:tab/>
        <w:t>Code § 213.  Medical Expense Deduction</w:t>
      </w:r>
      <w:r>
        <w:rPr>
          <w:b/>
          <w:bCs/>
        </w:rPr>
        <w:fldChar w:fldCharType="begin"/>
      </w:r>
      <w:r w:rsidR="00800BE7">
        <w:rPr>
          <w:b/>
          <w:bCs/>
        </w:rPr>
        <w:instrText>tc \l2 "Field result goes here</w:instrText>
      </w:r>
      <w:r w:rsidR="00800BE7">
        <w:rPr>
          <w:b/>
          <w:bCs/>
        </w:rPr>
        <w:tab/>
        <w:instrText>Code § 213.  Medical Expense Deduction</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 xml:space="preserve">Adult Donee Can Deduct Medical Expenses and Property Taxes Paid as Gifts by Donor.  </w:t>
      </w:r>
      <w:r>
        <w:rPr>
          <w:b/>
          <w:bCs/>
          <w:i/>
          <w:iCs/>
        </w:rPr>
        <w:t>Lang v. Comm’r</w:t>
      </w:r>
      <w:r>
        <w:rPr>
          <w:b/>
          <w:bCs/>
        </w:rPr>
        <w:t>, T.C. Memo. 2010-286 (Dec. 30, 2010)</w:t>
      </w:r>
      <w:r w:rsidR="00BC7053">
        <w:rPr>
          <w:b/>
          <w:bCs/>
        </w:rPr>
        <w:fldChar w:fldCharType="begin"/>
      </w:r>
      <w:r>
        <w:rPr>
          <w:b/>
          <w:bCs/>
        </w:rPr>
        <w:instrText xml:space="preserve">tc \l3 "Adult Donee Can Deduct Medical Expenses and Property Taxes Paid as Gifts by Donor.  </w:instrText>
      </w:r>
      <w:r>
        <w:rPr>
          <w:b/>
          <w:bCs/>
          <w:i/>
          <w:iCs/>
        </w:rPr>
        <w:instrText>Lang v. Comm’r</w:instrText>
      </w:r>
      <w:r>
        <w:rPr>
          <w:b/>
          <w:bCs/>
        </w:rPr>
        <w:instrText>, T.C. Memo. 2010-286 (Dec. 30, 2010)</w:instrText>
      </w:r>
      <w:r w:rsidR="00BC7053">
        <w:rPr>
          <w:b/>
          <w:bCs/>
        </w:rPr>
        <w:fldChar w:fldCharType="end"/>
      </w:r>
    </w:p>
    <w:p w:rsidR="00800BE7" w:rsidRDefault="00800BE7">
      <w:pPr>
        <w:keepNext/>
        <w:keepLines/>
        <w:widowControl/>
        <w:jc w:val="both"/>
      </w:pPr>
    </w:p>
    <w:p w:rsidR="00800BE7" w:rsidRDefault="00800BE7">
      <w:pPr>
        <w:keepLines/>
        <w:widowControl/>
        <w:ind w:left="1440"/>
        <w:jc w:val="both"/>
      </w:pPr>
      <w:r>
        <w:t>Judith’s mother, Frances Field, paid $24,559 directly to medical providers on account of Judith’s medical expenses, and paid $5,508 directly to the city government to pay Judith’s property taxes.  Judith, an adult, claimed income tax deductions for these payments.  The IRS claimed that the deductions belonged to Judith’s mother.</w:t>
      </w:r>
    </w:p>
    <w:p w:rsidR="00800BE7" w:rsidRDefault="00800BE7">
      <w:pPr>
        <w:widowControl/>
        <w:ind w:left="1440" w:firstLine="720"/>
        <w:jc w:val="both"/>
      </w:pPr>
      <w:r>
        <w:lastRenderedPageBreak/>
        <w:t xml:space="preserve">The Tax Court (Judge Goeke) held for the taxpayer.  The court stated that, in substance, the payments were gifts to Judith from her mother, and thus should be deemed to have been paid to her for income tax purposes.  The court noted that state law controls whether a gift at the time of payment affects who is the payor.  </w:t>
      </w:r>
      <w:r>
        <w:rPr>
          <w:i/>
          <w:iCs/>
        </w:rPr>
        <w:t>Ruch v. Comm’r</w:t>
      </w:r>
      <w:r>
        <w:t>, T.C. Memo. 1982</w:t>
      </w:r>
      <w:r>
        <w:noBreakHyphen/>
        <w:t xml:space="preserve">493, </w:t>
      </w:r>
      <w:r>
        <w:rPr>
          <w:i/>
          <w:iCs/>
        </w:rPr>
        <w:t>rev’d on another issue</w:t>
      </w:r>
      <w:r>
        <w:t>, 718 F.2d 719 (5th Cir. 1983).  Applying substance over form, the court treated Judith as having received from her mother gifts with which she paid her own expenses. The unreimbursed medical expenses were deductible under Section 213 and the property taxes under Section 164.</w:t>
      </w:r>
    </w:p>
    <w:p w:rsidR="00800BE7" w:rsidRDefault="00800BE7">
      <w:pPr>
        <w:widowControl/>
        <w:jc w:val="both"/>
      </w:pP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170, 642, 4940</w:t>
      </w:r>
      <w:r w:rsidR="00800BE7">
        <w:rPr>
          <w:b/>
          <w:bCs/>
        </w:rPr>
        <w:noBreakHyphen/>
        <w:t>4947.  Charitable Gifts and Distributions</w:t>
      </w:r>
      <w:r>
        <w:fldChar w:fldCharType="begin"/>
      </w:r>
      <w:r w:rsidR="00800BE7">
        <w:instrText>tc \l2 "</w:instrText>
      </w:r>
      <w:r w:rsidR="00800BE7">
        <w:rPr>
          <w:b/>
          <w:bCs/>
        </w:rPr>
        <w:instrText>Field result goes here</w:instrText>
      </w:r>
      <w:r w:rsidR="00800BE7">
        <w:rPr>
          <w:b/>
          <w:bCs/>
        </w:rPr>
        <w:tab/>
        <w:instrText>Code §§ 170, 642, 4940</w:instrText>
      </w:r>
      <w:r w:rsidR="00800BE7">
        <w:rPr>
          <w:b/>
          <w:bCs/>
        </w:rPr>
        <w:noBreakHyphen/>
        <w:instrText>4947.  Charitable Gifts and Distributions</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Legislative Proposals to Reform Charitable Giving Rules.  H.R. 1593, 112nd Cong., 1</w:t>
      </w:r>
      <w:r w:rsidR="00800BE7">
        <w:rPr>
          <w:b/>
          <w:bCs/>
          <w:vertAlign w:val="superscript"/>
        </w:rPr>
        <w:t>st</w:t>
      </w:r>
      <w:r w:rsidR="00800BE7">
        <w:rPr>
          <w:b/>
          <w:bCs/>
        </w:rPr>
        <w:t xml:space="preserve"> Sess. (April 15, 2011); H.R. 1964, 112nd Cong., 1</w:t>
      </w:r>
      <w:r w:rsidR="00800BE7">
        <w:rPr>
          <w:b/>
          <w:bCs/>
          <w:vertAlign w:val="superscript"/>
        </w:rPr>
        <w:t>st</w:t>
      </w:r>
      <w:r w:rsidR="00800BE7">
        <w:rPr>
          <w:b/>
          <w:bCs/>
        </w:rPr>
        <w:t xml:space="preserve"> Sess. (May 24, 2011); S. 931, 112nd Cong., 1</w:t>
      </w:r>
      <w:r w:rsidR="00800BE7">
        <w:rPr>
          <w:b/>
          <w:bCs/>
          <w:vertAlign w:val="superscript"/>
        </w:rPr>
        <w:t>st</w:t>
      </w:r>
      <w:r w:rsidR="00800BE7">
        <w:rPr>
          <w:b/>
          <w:bCs/>
        </w:rPr>
        <w:t xml:space="preserve"> Sess. (May 10, 2011)</w:t>
      </w:r>
      <w:r>
        <w:rPr>
          <w:b/>
          <w:bCs/>
        </w:rPr>
        <w:fldChar w:fldCharType="begin"/>
      </w:r>
      <w:r w:rsidR="00800BE7">
        <w:rPr>
          <w:b/>
          <w:bCs/>
        </w:rPr>
        <w:instrText>tc \l3 "Field result goes here</w:instrText>
      </w:r>
      <w:r w:rsidR="00800BE7">
        <w:rPr>
          <w:b/>
          <w:bCs/>
        </w:rPr>
        <w:tab/>
        <w:instrText>Legislative Proposals to Reform Charitable Giving Rules.  H.R. 1593, 112nd Cong., 1</w:instrText>
      </w:r>
      <w:r w:rsidR="00800BE7">
        <w:rPr>
          <w:b/>
          <w:bCs/>
          <w:vertAlign w:val="superscript"/>
        </w:rPr>
        <w:instrText>st</w:instrText>
      </w:r>
      <w:r w:rsidR="00800BE7">
        <w:rPr>
          <w:b/>
          <w:bCs/>
        </w:rPr>
        <w:instrText xml:space="preserve"> Sess. (April 15, 2011); H.R. 1964, 112nd Cong., 1</w:instrText>
      </w:r>
      <w:r w:rsidR="00800BE7">
        <w:rPr>
          <w:b/>
          <w:bCs/>
          <w:vertAlign w:val="superscript"/>
        </w:rPr>
        <w:instrText>st</w:instrText>
      </w:r>
      <w:r w:rsidR="00800BE7">
        <w:rPr>
          <w:b/>
          <w:bCs/>
        </w:rPr>
        <w:instrText xml:space="preserve"> Sess. (May 24, 2011); S. 931, 112nd Cong., 1</w:instrText>
      </w:r>
      <w:r w:rsidR="00800BE7">
        <w:rPr>
          <w:b/>
          <w:bCs/>
          <w:vertAlign w:val="superscript"/>
        </w:rPr>
        <w:instrText>st</w:instrText>
      </w:r>
      <w:r w:rsidR="00800BE7">
        <w:rPr>
          <w:b/>
          <w:bCs/>
        </w:rPr>
        <w:instrText xml:space="preserve"> Sess. (May 10, 2011)</w:instrText>
      </w:r>
      <w:r>
        <w:rPr>
          <w:b/>
          <w:bCs/>
        </w:rPr>
        <w:fldChar w:fldCharType="end"/>
      </w:r>
    </w:p>
    <w:p w:rsidR="00800BE7" w:rsidRDefault="00800BE7">
      <w:pPr>
        <w:keepNext/>
        <w:keepLines/>
        <w:widowControl/>
        <w:jc w:val="both"/>
      </w:pPr>
    </w:p>
    <w:p w:rsidR="00800BE7" w:rsidRDefault="00800BE7">
      <w:pPr>
        <w:keepLines/>
        <w:widowControl/>
        <w:tabs>
          <w:tab w:val="left" w:pos="-1440"/>
        </w:tabs>
        <w:ind w:left="2880" w:hanging="720"/>
        <w:jc w:val="both"/>
      </w:pPr>
      <w:r>
        <w:rPr>
          <w:b/>
          <w:bCs/>
        </w:rPr>
        <w:t>·</w:t>
      </w:r>
      <w:r>
        <w:rPr>
          <w:b/>
          <w:bCs/>
        </w:rPr>
        <w:tab/>
        <w:t>H.R. 1593.</w:t>
      </w:r>
      <w:r>
        <w:t xml:space="preserve">  This bill, introduced by Rep. Tim Bishop (D-N.Y.), would allow an unlimited gift and estate tax deduction for contributions of conservation easements on farm and conser</w:t>
      </w:r>
      <w:r>
        <w:softHyphen/>
        <w:t>vation land.  There are provisions for recapture of the estate tax savings if the property is used in a manner inconsistent with the conservation easement, and carryover basis for the property for which the estate tax deduction is allowed.</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H.R. 1964.</w:t>
      </w:r>
      <w:r>
        <w:t xml:space="preserve">  This bill, introduced by Rep. Jim Gerlach (R-Pa.), would make permanent the special rule for contributions of qualified conservation contributions (Section 170(b)(1)(E)).</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S. 931.</w:t>
      </w:r>
      <w:r>
        <w:t xml:space="preserve">  This bill, introduced by Sen. Chuck Schumer (D-N.Y.), would amends the rules relating to the tax deduction for donations of fractional interests in tangible personal property to: (1) permit donors to claim an increased deduction based upon the market value of subsequent gifts of fractional inter</w:t>
      </w:r>
      <w:r>
        <w:softHyphen/>
        <w:t xml:space="preserve">ests; (2) extend to 20 years the period in which donors of fractional interests must contribute their entire interest in donated property; and (3) require donors of fractional interests greater than $1 million to attach a statement of value obtained from the IRS to their tax returns. </w:t>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Tax Relief Unemployment Insurance Reauthorization, and Job Creation Act of 2010 Extends Expiring Charitable Gift Rules.  Pub. L. 111-312, 111</w:t>
      </w:r>
      <w:r w:rsidR="00800BE7">
        <w:rPr>
          <w:b/>
          <w:bCs/>
          <w:vertAlign w:val="superscript"/>
        </w:rPr>
        <w:t>th</w:t>
      </w:r>
      <w:r w:rsidR="00800BE7">
        <w:rPr>
          <w:b/>
          <w:bCs/>
        </w:rPr>
        <w:t xml:space="preserve"> Cong., 2</w:t>
      </w:r>
      <w:r w:rsidR="00800BE7">
        <w:rPr>
          <w:b/>
          <w:bCs/>
          <w:vertAlign w:val="superscript"/>
        </w:rPr>
        <w:t>nd</w:t>
      </w:r>
      <w:r w:rsidR="00800BE7">
        <w:rPr>
          <w:b/>
          <w:bCs/>
        </w:rPr>
        <w:t xml:space="preserve"> Sess. (Dec. 17, 2010)</w:t>
      </w:r>
      <w:r>
        <w:fldChar w:fldCharType="begin"/>
      </w:r>
      <w:r w:rsidR="00800BE7">
        <w:instrText>tc \l3 "</w:instrText>
      </w:r>
      <w:r w:rsidR="00800BE7">
        <w:rPr>
          <w:b/>
          <w:bCs/>
        </w:rPr>
        <w:instrText>Field result goes here</w:instrText>
      </w:r>
      <w:r w:rsidR="00800BE7">
        <w:rPr>
          <w:b/>
          <w:bCs/>
        </w:rPr>
        <w:tab/>
        <w:instrText>Tax Relief Unemployment Insurance Reauthorization, and Job Creation Act of 2010 Extends Expiring Charitable Gift Rules.  Pub. L. 111-312, 111</w:instrText>
      </w:r>
      <w:r w:rsidR="00800BE7">
        <w:rPr>
          <w:b/>
          <w:bCs/>
          <w:vertAlign w:val="superscript"/>
        </w:rPr>
        <w:instrText>th</w:instrText>
      </w:r>
      <w:r w:rsidR="00800BE7">
        <w:rPr>
          <w:b/>
          <w:bCs/>
        </w:rPr>
        <w:instrText xml:space="preserve"> Cong., 2</w:instrText>
      </w:r>
      <w:r w:rsidR="00800BE7">
        <w:rPr>
          <w:b/>
          <w:bCs/>
          <w:vertAlign w:val="superscript"/>
        </w:rPr>
        <w:instrText>nd</w:instrText>
      </w:r>
      <w:r w:rsidR="00800BE7">
        <w:rPr>
          <w:b/>
          <w:bCs/>
        </w:rPr>
        <w:instrText xml:space="preserve"> Sess. (Dec. 17, 2010)</w:instrText>
      </w:r>
      <w:r>
        <w:fldChar w:fldCharType="end"/>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Charitable Distributions from Individual Retirement Plans. </w:t>
      </w:r>
      <w:r>
        <w:t>Section 725 of the 2010 Tax Act extended through 2010 the provision that permits tax</w:t>
      </w:r>
      <w:r>
        <w:noBreakHyphen/>
        <w:t>free distributions to charity from an Individual Retirement Account (IRA) of up to $100,000 per taxpayer, per taxable year.  Code § 408(f)(8).  In addition, the new law states that the taxpayer may elect to treat any qualified charitable distribution made after December 31, 2010, and before February 1, 2011, as having been made on December 31, 2010.</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2880" w:hanging="720"/>
        <w:jc w:val="both"/>
      </w:pPr>
      <w:r>
        <w:rPr>
          <w:b/>
          <w:bCs/>
        </w:rPr>
        <w:lastRenderedPageBreak/>
        <w:t>·</w:t>
      </w:r>
      <w:r>
        <w:rPr>
          <w:b/>
          <w:bCs/>
        </w:rPr>
        <w:tab/>
        <w:t>Conservation Contributions.</w:t>
      </w:r>
      <w:r>
        <w:t xml:space="preserve">  Section 723 of the 2010 Tax Act extended through 2011 the increased contribution limits and carryforward period for contributions of appreciated real property (including partial interests in real property) for conser</w:t>
      </w:r>
      <w:r>
        <w:softHyphen/>
        <w:t>vation purposes.  Code § 170(b)(1)(E).</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Contributions of Food Inventory.</w:t>
      </w:r>
      <w:r>
        <w:t xml:space="preserve">  Section 740 of the 2010 Tax Act extended through 2011 the provision allowing busi</w:t>
      </w:r>
      <w:r>
        <w:softHyphen/>
        <w:t>nesses to claim an enhanced deduction for the contribution of food inventory.  Code § 170(e)(3)(C).</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Contributions of Book Inventories to Public Schools.</w:t>
      </w:r>
      <w:r>
        <w:t xml:space="preserve">  Section 741 of the 2010 Tax Act extended through 2011 the provision allowing C corporations to claim an enhanced deduction for contributions of book inventory to public schools (kindergarten through grade 12).  Code § 170(e)(3)(D).</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Corporate Contributions of Computer Equipment for Educational Purposes.</w:t>
      </w:r>
      <w:r>
        <w:t xml:space="preserve">  Section 742 of the 2010 Tax Act extended through 2011 the provision that encourages busi</w:t>
      </w:r>
      <w:r>
        <w:softHyphen/>
        <w:t>nesses to contribute computer equipment and software to elementary, secondary, and post</w:t>
      </w:r>
      <w:r>
        <w:noBreakHyphen/>
        <w:t>secondary schools by allowing an enhanced deduction for such contributions.  Code § 170(e)(6).</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Payments to Controlling Exempt Organizations. </w:t>
      </w:r>
      <w:r>
        <w:t xml:space="preserve"> Section 747 of the 2010 Tax Act extended through 2011 the special rules for interest, rents, royalties and annuities received by a tax exempt entity from a controlled entity.  Code § 512(b)(13)(E).</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S Corporation Charitable Contributions of Property.</w:t>
      </w:r>
      <w:r>
        <w:t xml:space="preserve">  Section 752 of the 2010 Tax Act extended through 2011 the </w:t>
      </w:r>
      <w:r>
        <w:lastRenderedPageBreak/>
        <w:t>provision allowing S corporation shareholders to take into account their pro rata share of charitable deductions even if such deductions would exceed such shareholder's adjusted basis in the S corporation.  Code § 1367(a).</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Façade Easements Attract Extensive Litigation. </w:t>
      </w:r>
      <w:r w:rsidR="00800BE7">
        <w:rPr>
          <w:b/>
          <w:bCs/>
          <w:i/>
          <w:iCs/>
        </w:rPr>
        <w:t>Simmons v. Comm’r</w:t>
      </w:r>
      <w:r w:rsidR="00800BE7">
        <w:rPr>
          <w:b/>
          <w:bCs/>
        </w:rPr>
        <w:t xml:space="preserve">, 646 F.3d 6 (D.C. Cir. June 21, 2011), </w:t>
      </w:r>
      <w:r w:rsidR="00800BE7">
        <w:rPr>
          <w:b/>
          <w:bCs/>
          <w:i/>
          <w:iCs/>
        </w:rPr>
        <w:t xml:space="preserve">aff’g </w:t>
      </w:r>
      <w:r w:rsidR="00800BE7">
        <w:rPr>
          <w:b/>
          <w:bCs/>
        </w:rPr>
        <w:t xml:space="preserve">T.C. Memo. 2009-208; </w:t>
      </w:r>
      <w:r w:rsidR="00800BE7">
        <w:rPr>
          <w:b/>
          <w:bCs/>
          <w:i/>
          <w:iCs/>
        </w:rPr>
        <w:t>Kaufman v. Comm’r</w:t>
      </w:r>
      <w:r w:rsidR="00800BE7">
        <w:rPr>
          <w:b/>
          <w:bCs/>
        </w:rPr>
        <w:t>, 134 T.C. 182 (2010),</w:t>
      </w:r>
      <w:r w:rsidR="00800BE7">
        <w:rPr>
          <w:b/>
          <w:bCs/>
          <w:i/>
          <w:iCs/>
        </w:rPr>
        <w:t xml:space="preserve"> reh’g </w:t>
      </w:r>
      <w:r w:rsidR="00800BE7">
        <w:rPr>
          <w:b/>
          <w:bCs/>
        </w:rPr>
        <w:t xml:space="preserve">136 T.C. ___ (No. 13) (April 4, 2011); </w:t>
      </w:r>
      <w:r w:rsidR="00800BE7">
        <w:rPr>
          <w:b/>
          <w:bCs/>
          <w:i/>
          <w:iCs/>
        </w:rPr>
        <w:t>Schrimsher v. Comm’r</w:t>
      </w:r>
      <w:r w:rsidR="00800BE7">
        <w:rPr>
          <w:b/>
          <w:bCs/>
        </w:rPr>
        <w:t xml:space="preserve">, T.C. Memo. 2011-71 (March 28, 2011); </w:t>
      </w:r>
      <w:r w:rsidR="00800BE7">
        <w:rPr>
          <w:b/>
          <w:bCs/>
          <w:i/>
          <w:iCs/>
        </w:rPr>
        <w:t>1982 East LLC et al. v. Comm’r</w:t>
      </w:r>
      <w:r w:rsidR="00800BE7">
        <w:rPr>
          <w:b/>
          <w:bCs/>
        </w:rPr>
        <w:t>, T.C. Memo. 2011</w:t>
      </w:r>
      <w:r w:rsidR="00800BE7">
        <w:rPr>
          <w:b/>
          <w:bCs/>
        </w:rPr>
        <w:noBreakHyphen/>
        <w:t>84 (April 12, 2011)</w:t>
      </w:r>
      <w:r>
        <w:fldChar w:fldCharType="begin"/>
      </w:r>
      <w:r w:rsidR="00800BE7">
        <w:instrText>tc \l3 "</w:instrText>
      </w:r>
      <w:r w:rsidR="00800BE7">
        <w:rPr>
          <w:b/>
          <w:bCs/>
        </w:rPr>
        <w:instrText>Field result goes here</w:instrText>
      </w:r>
      <w:r w:rsidR="00800BE7">
        <w:rPr>
          <w:b/>
          <w:bCs/>
        </w:rPr>
        <w:tab/>
        <w:instrText xml:space="preserve">Façade Easements Attract Extensive Litigation. </w:instrText>
      </w:r>
      <w:r w:rsidR="00800BE7">
        <w:rPr>
          <w:b/>
          <w:bCs/>
          <w:i/>
          <w:iCs/>
        </w:rPr>
        <w:instrText>Simmons v. Comm’r</w:instrText>
      </w:r>
      <w:r w:rsidR="00800BE7">
        <w:rPr>
          <w:b/>
          <w:bCs/>
        </w:rPr>
        <w:instrText xml:space="preserve">, 646 F.3d 6 (D.C. Cir. June 21, 2011), </w:instrText>
      </w:r>
      <w:r w:rsidR="00800BE7">
        <w:rPr>
          <w:b/>
          <w:bCs/>
          <w:i/>
          <w:iCs/>
        </w:rPr>
        <w:instrText xml:space="preserve">aff’g </w:instrText>
      </w:r>
      <w:r w:rsidR="00800BE7">
        <w:rPr>
          <w:b/>
          <w:bCs/>
        </w:rPr>
        <w:instrText xml:space="preserve">T.C. Memo. 2009-208; </w:instrText>
      </w:r>
      <w:r w:rsidR="00800BE7">
        <w:rPr>
          <w:b/>
          <w:bCs/>
          <w:i/>
          <w:iCs/>
        </w:rPr>
        <w:instrText>Kaufman v. Comm’r</w:instrText>
      </w:r>
      <w:r w:rsidR="00800BE7">
        <w:rPr>
          <w:b/>
          <w:bCs/>
        </w:rPr>
        <w:instrText>, 134 T.C. 182 (2010),</w:instrText>
      </w:r>
      <w:r w:rsidR="00800BE7">
        <w:rPr>
          <w:b/>
          <w:bCs/>
          <w:i/>
          <w:iCs/>
        </w:rPr>
        <w:instrText xml:space="preserve"> reh’g </w:instrText>
      </w:r>
      <w:r w:rsidR="00800BE7">
        <w:rPr>
          <w:b/>
          <w:bCs/>
        </w:rPr>
        <w:instrText xml:space="preserve">136 T.C. ___ (No. 13) (April 4, 2011); </w:instrText>
      </w:r>
      <w:r w:rsidR="00800BE7">
        <w:rPr>
          <w:b/>
          <w:bCs/>
          <w:i/>
          <w:iCs/>
        </w:rPr>
        <w:instrText>Schrimsher v. Comm’r</w:instrText>
      </w:r>
      <w:r w:rsidR="00800BE7">
        <w:rPr>
          <w:b/>
          <w:bCs/>
        </w:rPr>
        <w:instrText xml:space="preserve">, T.C. Memo. 2011-71 (March 28, 2011); </w:instrText>
      </w:r>
      <w:r w:rsidR="00800BE7">
        <w:rPr>
          <w:b/>
          <w:bCs/>
          <w:i/>
          <w:iCs/>
        </w:rPr>
        <w:instrText>1982 East LLC et al. v. Comm’r</w:instrText>
      </w:r>
      <w:r w:rsidR="00800BE7">
        <w:rPr>
          <w:b/>
          <w:bCs/>
        </w:rPr>
        <w:instrText>, T.C. Memo. 2011</w:instrText>
      </w:r>
      <w:r w:rsidR="00800BE7">
        <w:rPr>
          <w:b/>
          <w:bCs/>
        </w:rPr>
        <w:noBreakHyphen/>
        <w:instrText>84 (April 12, 2011)</w:instrText>
      </w:r>
      <w:r>
        <w:fldChar w:fldCharType="end"/>
      </w:r>
    </w:p>
    <w:p w:rsidR="00800BE7" w:rsidRDefault="00800BE7">
      <w:pPr>
        <w:keepNext/>
        <w:keepLines/>
        <w:widowControl/>
        <w:jc w:val="both"/>
      </w:pPr>
    </w:p>
    <w:p w:rsidR="00800BE7" w:rsidRDefault="00800BE7">
      <w:pPr>
        <w:keepLines/>
        <w:widowControl/>
        <w:tabs>
          <w:tab w:val="left" w:pos="-1440"/>
        </w:tabs>
        <w:ind w:left="2880" w:hanging="720"/>
        <w:jc w:val="both"/>
      </w:pPr>
      <w:r>
        <w:rPr>
          <w:b/>
          <w:bCs/>
        </w:rPr>
        <w:t>·</w:t>
      </w:r>
      <w:r>
        <w:rPr>
          <w:b/>
          <w:bCs/>
        </w:rPr>
        <w:tab/>
      </w:r>
      <w:r>
        <w:rPr>
          <w:b/>
          <w:bCs/>
          <w:i/>
          <w:iCs/>
        </w:rPr>
        <w:t>Simmons.</w:t>
      </w:r>
      <w:r>
        <w:t xml:space="preserve">  Dorothy owned two rowhouses in Washington, D.C., each of which was subject to the Historic Landmark and Historic Preservation Act of 1978.  Dorothy granted a façade easement over the two properties to the L’Enfant Trust, Inc., which then required that she affix a bronze plaque to the two façades, informing all who read the plaque that the facade will be preserved.  The easement deeds provided that Dorothy could not make any material changes to the facades without the consent of the L’Enfant Trust, and required that she periodically clean the façades, keep the plaques polished and visible from the street, and maintain the properties in good condition, and that any work done on the properties must comply with all applicable federal, state, and local government laws and regulations.  A professional appraiser determined that the easements reduced the value of the two properties by $162,500 and $93,000, respectively.  Dorothy also made a cash contribution with each easement, as required by the L’Enfant Trust.  Dorothy deducted the appraised value of the façade easements, and the IRS denied the deductions.</w:t>
      </w:r>
    </w:p>
    <w:p w:rsidR="00800BE7" w:rsidRDefault="00800BE7">
      <w:pPr>
        <w:keepLines/>
        <w:widowControl/>
        <w:tabs>
          <w:tab w:val="left" w:pos="-1440"/>
        </w:tabs>
        <w:ind w:left="288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 xml:space="preserve">The Tax Court (Judge Goeke) held that Dorothy could deduct the value of the two conservation easements, finding the easements valid.  The IRS argued that the easements were not perpetual, because the L’Enfant Trust had the power to consent to changes in the façades, even if the changes were inappropriate, but the court held that this was permissible, as long as the changes were required to comply with all applicable federal, state, and local government laws and regulations.  Treas. Regs. § 1.170A-14(d)(5).  The IRS also argued that Dorothy had not adequately documented the gifts, but the court disagreed, noting that the deeds themselves constituted contemporaneous acknowledgments, because they were signed by the donee’s representative.  The Tax Court </w:t>
      </w:r>
      <w:r>
        <w:lastRenderedPageBreak/>
        <w:t>also held that the appraisals were qualified appraisals, even though they did not state expressly that they were obtained for purposes of substantiating an income tax deduction, because they did state that the donor was contemplating a contribution of a façade easement.  The court also generally accepted the “before” valuations prepared by the taxpayer, but reduced the depress</w:t>
      </w:r>
      <w:r>
        <w:softHyphen/>
        <w:t>ing effect of the easements from 11% and 13%, suggested by the taxpayer, to five percent, rejecting the 0% reduction proposed by the IRS.</w:t>
      </w:r>
    </w:p>
    <w:p w:rsidR="00800BE7" w:rsidRDefault="00800BE7">
      <w:pPr>
        <w:widowControl/>
        <w:ind w:left="2880" w:firstLine="720"/>
        <w:jc w:val="both"/>
      </w:pPr>
      <w:r>
        <w:t>The D.C. Circuit affirmed the decision of the Tax Court.  The court (Judge Ginsburg) rejected the IRS argument that the easements were not perpetual because of the Trust’s ability to consent to changes.  The court noted that the deeds imposed an “affirmative obligation upon Simmons ‘in perpetuity’ to maintain the properties in a manner consistent with their historic character and grant L'Enfant the authority to inspect the properties and to enforce the easements.” The deeds did not state what would happen upon the dissolution of L'Enfant, but D.C. law provides the easements would be transferred to another organization that engages in "activities substantially similar to those of" L'Enfant. D.C. Code §§ 29301.48, 29</w:t>
      </w:r>
      <w:r>
        <w:noBreakHyphen/>
        <w:t>301.56. Also, the State Historic Preservation Officer testified the easement initially reverts to the District of Columbia, which then seeks to assign it to a conservation organization. The court also explained that the clauses permitting consent and abandonment did not affect the perpetuity of the easements.  “Any donee might fail to enforce a conservation easement, with or without a clause stating it may consent to a change or abandon its rights, and a tax</w:t>
      </w:r>
      <w:r>
        <w:noBreakHyphen/>
        <w:t>exempt organization would do so at its peril.”  In an amicus brief, the National Trust for Historic Preservation, the L'Enfant Trust, and the Foundation for the Preservation of Historic Georgetown, also explained that this type of clause was important because it allows a charity to accommodate such change as may become necessary "to make a building livable or usable for future generations" while still ensuring the change is consistent with the conservation purpose of the easement.  Furthermore, the court stated that the IRS had not shown that the chance that the L’Enfant Trust would actually abandon its rights was more than negligible.  The Trust had never in its history abandoned its right to enforce, and the Simmons's deeds expressly state the trust’s intention to ensure her properties "remain essentially un</w:t>
      </w:r>
      <w:r>
        <w:softHyphen/>
        <w:t>changed."</w:t>
      </w:r>
    </w:p>
    <w:p w:rsidR="00800BE7" w:rsidRDefault="00800BE7">
      <w:pPr>
        <w:widowControl/>
        <w:ind w:left="288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 xml:space="preserve">The Court of Appeals also rejected the IRS contention that the appraisal was not a qualified appraisal.  The IRS </w:t>
      </w:r>
      <w:r>
        <w:lastRenderedPageBreak/>
        <w:t>claimed that the appraiser failed to explain its method of valuation or to include a substantive basis for the valuation.  The appraiser stated that he relied on an article by an IRS employee that stated that the IRS had concluded that the proper valuation of a façade easement should range from approximately 10% to 15% of the value of the property. The IRS stated that the appraiser, therefore, picked a percentage between 10 and 15 rather than stating any identifiable method to determine the "after</w:t>
      </w:r>
      <w:r>
        <w:noBreakHyphen/>
        <w:t>easement" value.  The court accepted the Tax Court’s finding that the appraiser properly applied the "before and after approach," calculating the difference between the fair market value of the property before and after the donation.  Treas. Reg. § 1.170A14(h)(3).  The court stated that the Tax Court did not “clearly err” in concluding the appraisals sufficiently identified the method and basis for the valuations.</w:t>
      </w:r>
    </w:p>
    <w:p w:rsidR="00800BE7" w:rsidRDefault="00800BE7">
      <w:pPr>
        <w:widowControl/>
        <w:jc w:val="both"/>
      </w:pPr>
    </w:p>
    <w:p w:rsidR="00800BE7" w:rsidRDefault="00800BE7">
      <w:pPr>
        <w:keepLines/>
        <w:widowControl/>
        <w:tabs>
          <w:tab w:val="left" w:pos="-1440"/>
        </w:tabs>
        <w:ind w:left="2880" w:hanging="720"/>
        <w:jc w:val="both"/>
      </w:pPr>
      <w:r>
        <w:rPr>
          <w:b/>
          <w:bCs/>
        </w:rPr>
        <w:t>·</w:t>
      </w:r>
      <w:r>
        <w:rPr>
          <w:b/>
          <w:bCs/>
        </w:rPr>
        <w:tab/>
      </w:r>
      <w:r>
        <w:rPr>
          <w:b/>
          <w:bCs/>
          <w:i/>
          <w:iCs/>
        </w:rPr>
        <w:t>Kaufman.</w:t>
      </w:r>
      <w:r>
        <w:t xml:space="preserve">  Gordon and Lorna Kaufman transferred a façade easement on their historic row house to a conservation organization along with a cash contribution.  The taxpayers deducted $220,800 for the easement contribution in the year of the gift, of which $117,433 was carried over to the following year.  The taxpayers also deducted as a charitable contribution a cash gift of $16,870 to the same organization, though they only paid it $16,840 in that year. The IRS disallowed the deductions and imposed accuracy</w:t>
      </w:r>
      <w:r>
        <w:noBreakHyphen/>
        <w:t>related penalties.</w:t>
      </w:r>
    </w:p>
    <w:p w:rsidR="00800BE7" w:rsidRDefault="00800BE7">
      <w:pPr>
        <w:widowControl/>
        <w:ind w:left="2880" w:firstLine="720"/>
        <w:jc w:val="both"/>
      </w:pPr>
      <w:r>
        <w:t>The Tax Court (Judge Halpern) granted the IRS a partial summary judgment and denied a couple's deduction, finding that the requirements of Section 170(h) were not met, though it allowed a deduction for the accompanying cash donation.  Section 170(h) requires that the conservation contribution must grant a restriction on the property's use in perpetuity. Treas. Reg. § 1.170A</w:t>
      </w:r>
      <w:r>
        <w:noBreakHyphen/>
        <w:t>14(g).  In this case, the property had a mort</w:t>
      </w:r>
      <w:r>
        <w:softHyphen/>
        <w:t>gage and the bank retained a "prior claim" to all proceeds of condemnation and to all insurance proceeds as a result of any casualty, hazard, or accident occurring to or about the prop</w:t>
      </w:r>
      <w:r>
        <w:softHyphen/>
        <w:t>erty.  The bank’s rights had preference over those of the charity, until the mortgage was satisfied and discharged.  This precluded any deduction for the contribution of the façade easement.  The Tax Court also held that the taxpayers raised genuine issues of material fact regarding the deductibility of the cash donation and denied the IRS's motion for summary judgment on that issue.  The court also held that there were genuine issues of material fact regarding the taxpayers’ liability for accuracy</w:t>
      </w:r>
      <w:r>
        <w:noBreakHyphen/>
        <w:t>related penalties, and denied the IRS summary judgment regarding penalties.</w:t>
      </w:r>
    </w:p>
    <w:p w:rsidR="00800BE7" w:rsidRDefault="00800BE7">
      <w:pPr>
        <w:widowControl/>
        <w:ind w:left="288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On a motion to reconsider, the court (again, Judge Halpern) accepted the IRS's argument that the cash donations were conditioned on a zero appraisal value of the easement and that they were not deductible.  The taxpayers failed to show that the possibility of a zero appraisal at the end of 2003 was not so remote as to be negligible, so the court sustained the disallowance of a deduction for the cash donations.  The court rejected the IRS argument that the cash donations should be denied as a fee</w:t>
      </w:r>
      <w:r>
        <w:noBreakHyphen/>
        <w:t>for</w:t>
      </w:r>
      <w:r>
        <w:noBreakHyphen/>
        <w:t>services, because the trust's require</w:t>
      </w:r>
      <w:r>
        <w:softHyphen/>
        <w:t>ment that a cash donation accompany the easement contribu</w:t>
      </w:r>
      <w:r>
        <w:softHyphen/>
        <w:t>tion could feasibly be to cover the various expenses related to the easement. The court also rejected the IRS's failure</w:t>
      </w:r>
      <w:r>
        <w:noBreakHyphen/>
        <w:t>to</w:t>
      </w:r>
      <w:r>
        <w:noBreakHyphen/>
        <w:t xml:space="preserve"> substantiate argument, finding that the trust's letters acknowl</w:t>
      </w:r>
      <w:r>
        <w:softHyphen/>
        <w:t>edged receipt of the cash donations and specified that they were not in return for any goods or services.  The court therefore found that the taxpayers were entitled to a charitable deduction in 2004 for cash donations the couple made in 2003 and 2004.  The court noted that the penalty issue was one of first impression and agreed with the parties that the taxpayers should not be liable for negligence or underpayment penalties based on the disallowance of the easement deduction under the enforce</w:t>
      </w:r>
      <w:r>
        <w:softHyphen/>
        <w:t>ment</w:t>
      </w:r>
      <w:r>
        <w:noBreakHyphen/>
        <w:t>in</w:t>
      </w:r>
      <w:r>
        <w:noBreakHyphen/>
        <w:t>perpetuity rules.  The court declined to rule on the IRS argument that the taxpayers should be liable for penalties because they knew the easement would not diminish the value of the property.  The court agreed to impose an accuracy</w:t>
      </w:r>
      <w:r>
        <w:noBreakHyphen/>
        <w:t>related penalty for the underpayment resulting from claimed deduction for the 2003 cash donations.</w:t>
      </w:r>
    </w:p>
    <w:p w:rsidR="00800BE7" w:rsidRDefault="00800BE7">
      <w:pPr>
        <w:widowControl/>
        <w:ind w:left="2880" w:firstLine="720"/>
        <w:jc w:val="both"/>
      </w:pPr>
      <w:r>
        <w:rPr>
          <w:b/>
          <w:bCs/>
        </w:rPr>
        <w:t xml:space="preserve">Note. </w:t>
      </w:r>
      <w:r>
        <w:t xml:space="preserve"> This case highlights the serious problems that can arise in giving façade or other conservation easements over encumbered property.</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r>
      <w:r>
        <w:rPr>
          <w:b/>
          <w:bCs/>
          <w:i/>
          <w:iCs/>
        </w:rPr>
        <w:t>1982 East LLC.</w:t>
      </w:r>
      <w:r>
        <w:t xml:space="preserve">  1982 East LLC donated to the National Architectural Trust (NAT) a facade easement for a building it owned in New York City.  The building was subject to a mortgage with a bank at the time of the contribution.  The IRS disallowed the mortgage gave the bank rights in foreclosure that were inconsistent with the easement being made in perpetuity, as required by Section 170(h)(5)(A).</w:t>
      </w:r>
    </w:p>
    <w:p w:rsidR="00800BE7" w:rsidRDefault="00800BE7">
      <w:pPr>
        <w:widowControl/>
        <w:tabs>
          <w:tab w:val="left" w:pos="-1440"/>
        </w:tabs>
        <w:ind w:left="2880" w:hanging="720"/>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firstLine="720"/>
        <w:jc w:val="both"/>
      </w:pPr>
      <w:r>
        <w:lastRenderedPageBreak/>
        <w:t xml:space="preserve">The Tax Court (Judge Laro) held that the deduction was not allowed because the gift was not made in perpetuity.  The court discussed Kaufman v. Comm’r, 134 T.C. 182 (2010), which had held that a façade easement was not made in perpetuity because the donee organization was not guaranteed a proportionate share of proceeds in the event of casualty or condemnation, as required under the income tax regulations.  </w:t>
      </w:r>
      <w:r>
        <w:lastRenderedPageBreak/>
        <w:t xml:space="preserve">The LLC’s mortgage agreement with the bank clearly gave the bank a prior claim to all condemnation and insurance proceeds until the mortgage was satisfied and discharged, so the façade easement was not deductible.  The taxpayer’s mortgage agreement with the bank clearly gave the bank a prior claim to all condemnation and insurance proceeds until the mortgage was satisfied and discharged, so the façade easement was not deductible.  The court explained that, until the mortgage was repaid, the bank could deprive the charity of the value of the easement, which value “should have otherwise been dedicated to the conservation purpose.”  If, for example, the property were destroyed and the insurance only covered the mortgage, the charity would receive nothing. </w:t>
      </w:r>
    </w:p>
    <w:p w:rsidR="00800BE7" w:rsidRDefault="00800BE7">
      <w:pPr>
        <w:widowControl/>
        <w:ind w:left="2880" w:firstLine="720"/>
        <w:jc w:val="both"/>
      </w:pPr>
      <w:r>
        <w:rPr>
          <w:b/>
          <w:bCs/>
        </w:rPr>
        <w:t>Note.</w:t>
      </w:r>
      <w:r>
        <w:t xml:space="preserve">  The court also held that the taxpayer was not liable for a 20% accuracy</w:t>
      </w:r>
      <w:r>
        <w:noBreakHyphen/>
        <w:t>related penalty under Section 6662(a), because (a) the taxpayer’s managing member acted in good faith; (b) the issue of the effect of a mortgage on a contribution of a conservation easement was not decided until more than four years after the taxpayer’s income tax return reporting the transfer; (c) the regulations interpreting the perpetuity requirement of Section 170(h)(5) are not “so crystal clear and unambiguous as to make the imposition of the accuracy</w:t>
      </w:r>
      <w:r>
        <w:noBreakHyphen/>
        <w:t>related penalty appropriate;” and (d) the taxpayer obtained three appraisals to support the transfer, but none of them addressed the issue of perpetuity and the mortgage.</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r>
      <w:r>
        <w:rPr>
          <w:b/>
          <w:bCs/>
          <w:i/>
          <w:iCs/>
        </w:rPr>
        <w:t>Schrimsher</w:t>
      </w:r>
      <w:r>
        <w:rPr>
          <w:b/>
          <w:bCs/>
        </w:rPr>
        <w:t>.</w:t>
      </w:r>
      <w:r>
        <w:t xml:space="preserve">  Randal A. Schrimsher gave a façade easement to the Alabama Historical Commission, providing that no changes would be made to the façade of an historic building he owned in Huntsville, Alabama.  The deed of gift recited that the easement was made in exchange for “$10 plus other good and valuable consideration.”  Randal filed IRS Form 8283, stating that the value of the easement was $705,000, but he did not include various required items of information and the form was not signed by any of the parties involved in the easement contribution.</w:t>
      </w:r>
    </w:p>
    <w:p w:rsidR="00800BE7" w:rsidRDefault="00800BE7">
      <w:pPr>
        <w:widowControl/>
        <w:ind w:left="2880" w:firstLine="720"/>
        <w:jc w:val="both"/>
      </w:pPr>
      <w:r>
        <w:t>The Tax Court (Judge Thornton) held that no deduction was allowed, because Randal did not obtain a contemporane</w:t>
      </w:r>
      <w:r>
        <w:softHyphen/>
        <w:t>ous written acknowledgment of the easement from the Com</w:t>
      </w:r>
      <w:r>
        <w:softHyphen/>
        <w:t>mission, as required by Section 170(f)(8).  The taxpayer argued that the language in the agreement that stated that consider</w:t>
      </w:r>
      <w:r>
        <w:softHyphen/>
        <w:t xml:space="preserve">ation was received was mere “boilerplate” and that it was clear that no compensation had been paid.  The court, however, rejected the argument that the recitation in the deed was fictitious.  The court stated that, even if the recitation was </w:t>
      </w:r>
      <w:r>
        <w:lastRenderedPageBreak/>
        <w:t>boilerplate, it certainly did not prove that there was no consider</w:t>
      </w:r>
      <w:r>
        <w:softHyphen/>
        <w:t>ation received.  Therefore, it was imperative that the taxpayer obtain a contemporaneous written acknowledgment that established what consideration was or was not paid for the easement.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Expenses Related to Feline Foster Care in the Taxpayer’s House are Deductible.  </w:t>
      </w:r>
      <w:r w:rsidR="00800BE7">
        <w:rPr>
          <w:b/>
          <w:bCs/>
          <w:i/>
          <w:iCs/>
        </w:rPr>
        <w:t>Van Dusen v. Comm’r</w:t>
      </w:r>
      <w:r w:rsidR="00800BE7">
        <w:rPr>
          <w:b/>
          <w:bCs/>
        </w:rPr>
        <w:t>, 136 T.C. ___ (No. 25) (June 2, 2011)</w:t>
      </w:r>
      <w:r>
        <w:fldChar w:fldCharType="begin"/>
      </w:r>
      <w:r w:rsidR="00800BE7">
        <w:instrText>tc \l3 "</w:instrText>
      </w:r>
      <w:r w:rsidR="00800BE7">
        <w:rPr>
          <w:b/>
          <w:bCs/>
        </w:rPr>
        <w:instrText>Field result goes here</w:instrText>
      </w:r>
      <w:r w:rsidR="00800BE7">
        <w:rPr>
          <w:b/>
          <w:bCs/>
        </w:rPr>
        <w:tab/>
        <w:instrText xml:space="preserve">Expenses Related to Feline Foster Care in the Taxpayer’s House are Deductible.  </w:instrText>
      </w:r>
      <w:r w:rsidR="00800BE7">
        <w:rPr>
          <w:b/>
          <w:bCs/>
          <w:i/>
          <w:iCs/>
        </w:rPr>
        <w:instrText>Van Dusen v. Comm’r</w:instrText>
      </w:r>
      <w:r w:rsidR="00800BE7">
        <w:rPr>
          <w:b/>
          <w:bCs/>
        </w:rPr>
        <w:instrText>, 136 T.C. ___ (No. 25) (June 2, 2011)</w:instrText>
      </w:r>
      <w:r>
        <w:fldChar w:fldCharType="end"/>
      </w:r>
    </w:p>
    <w:p w:rsidR="00800BE7" w:rsidRDefault="00800BE7">
      <w:pPr>
        <w:keepNext/>
        <w:keepLines/>
        <w:widowControl/>
        <w:jc w:val="both"/>
      </w:pPr>
    </w:p>
    <w:p w:rsidR="00800BE7" w:rsidRDefault="00800BE7">
      <w:pPr>
        <w:keepLines/>
        <w:widowControl/>
        <w:ind w:left="2160"/>
        <w:jc w:val="both"/>
      </w:pPr>
      <w:r>
        <w:t>Jan Elizabeth Van Dusen provided foster care for Fix Our Ferals (FOF), a qualified charity that spays and neuters feral cats and then returns them to the wild.  During their recovery, or if they cannot be safely released, the cats are placed in foster homes.  Van Dusen provided a foster home for many FOF cats, as well as a few others from similar organizations, and paid most of her expenses out of pocket.  The taxpayer devoted almost her entire non-work life to caring for the cats.  She daily fed, cleaned, and looked after them.  She laundered the cats' bedding and sanitized the floors, household surfaces, and cages.  The taxpayer even bought a house "with the idea of fostering in mind".  Her house was so extensively used for cat care that she never had guests over for dinner.  In the year in question, the taxpayer had between 70 and 80 cats total, of which approximately seven were pets.  (The pet cats had names, but the foster cats generally did not.)  Some cats lived in cages for taming.  Others lived in cages because of illness.  Most of the cats roamed freely around the taxpayer’s house (except for bathrooms) and resided in common areas.  Less domesticated cats stayed in a separate room called the "feral room".  The taxpayer incurred extensive expenses for veterinary services, pet food, and similar items.  She had to repair her wet/dry vacuum so she could easily clean the floors.  The taxpayer also incurred higher electricity and gas bills because she laundered many loads of cat bedding and ran a special ventilation system to ensure fresh air.  The frequent laundering also increased the tax</w:t>
      </w:r>
      <w:r>
        <w:softHyphen/>
        <w:t>payer’s water bills.  Her garbage bills increased because of the high volume of cat</w:t>
      </w:r>
      <w:r>
        <w:noBreakHyphen/>
        <w:t>related waste.  The taxpayer kept good records of some expenses, such as those for veterinary services.  Some expenses, such as those related to cleaning, were commingled with her personal expenses for the same items.  In the year in question, the taxpayer deducted $12,068 on as a noncash charitable contribution attributable to a "cat rescue operation", including $1,381 of supplies,$9,607 of veterinary bills, and $1,080 of utilities.  The IRS disallowed the deductions.</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court (Judge Morrison) held that the taxpayer’s care for the cats were "expenditures made incident to the rendition of services" to </w:t>
      </w:r>
      <w:r>
        <w:lastRenderedPageBreak/>
        <w:t>a charity, and they were eligible for deduction, to the extent that she could establish their amount and show correct documentation.  See Treas. Reg. § 1.170A</w:t>
      </w:r>
      <w:r>
        <w:noBreakHyphen/>
        <w:t>1(g).  The court rejected the IRS argument that the taxpayer was an independent cat rescue worker whose services were unrelated to the charity and did not benefit it, finding that the facts showing the strength of the taxpayer's affiliation with the organization as a regular volunteer who performed substantial services for the organization, the organization's ability to initiate or request services from the taxpayer by phone or interest, the organiza</w:t>
      </w:r>
      <w:r>
        <w:softHyphen/>
        <w:t xml:space="preserve">tion's supervision over the taxpayer's work, and the taxpayer's accountability to the organization, supported her claim.. See, </w:t>
      </w:r>
      <w:r>
        <w:rPr>
          <w:i/>
          <w:iCs/>
        </w:rPr>
        <w:t>e.g., Smith v. Comm’r</w:t>
      </w:r>
      <w:r>
        <w:t xml:space="preserve">, 60 T.C. 988 (1973); </w:t>
      </w:r>
      <w:r>
        <w:rPr>
          <w:i/>
          <w:iCs/>
        </w:rPr>
        <w:t>Saltzman v. Comm’r</w:t>
      </w:r>
      <w:r>
        <w:t xml:space="preserve">, 54 T.C. 722 (1970). The taxpayer’s inability to trace her cat rescue work exclusively to the charity was noteworthy, but the court concluded that she had performed most of her work in the year in question for Fix Our Ferals, and that the other organizations with which she was affiliated and for which she may have provided services were also qualified charities.  The court also held that the services were, as required for deductibility, directly connected with and solely attributable to the rendition of services to a charitable organization. See also </w:t>
      </w:r>
      <w:r>
        <w:rPr>
          <w:i/>
          <w:iCs/>
        </w:rPr>
        <w:t>Babilonia v. Comm’r</w:t>
      </w:r>
      <w:r>
        <w:t>, T.C. Memo. 1980</w:t>
      </w:r>
      <w:r>
        <w:noBreakHyphen/>
        <w:t xml:space="preserve">207, </w:t>
      </w:r>
      <w:r>
        <w:rPr>
          <w:i/>
          <w:iCs/>
        </w:rPr>
        <w:t>aff’d</w:t>
      </w:r>
      <w:r>
        <w:t xml:space="preserve"> </w:t>
      </w:r>
      <w:r>
        <w:rPr>
          <w:i/>
          <w:iCs/>
        </w:rPr>
        <w:t>per curiam</w:t>
      </w:r>
      <w:r>
        <w:t>, 681 F.2d 678 (9</w:t>
      </w:r>
      <w:r>
        <w:rPr>
          <w:vertAlign w:val="superscript"/>
        </w:rPr>
        <w:t>th</w:t>
      </w:r>
      <w:r>
        <w:t xml:space="preserve"> Cir. 1982).  The court held that some expenses were directly related to the charity’s operations, such as 90% of the taxpayer’s veterinary expenses and pet supplies and 50% of her cleaning supplies and utility bills.  The court disallowed expenses that it determined were not exclusively related to the feline foster care, such as repair of her wet/dry vacuum cleaner and Costco membership.  The court held that the rules in Treas. Reg. § 1.170A</w:t>
      </w:r>
      <w:r>
        <w:noBreakHyphen/>
        <w:t>13(a) related to contributions of money applied to unreimbursed volunteer expenses, and applied this rule to the taxpayer’s feline foster care expenses.  The court found that the taxpayer’s s documentation did not comply strictly with the regulations, but that she had substantiated her service</w:t>
      </w:r>
      <w:r>
        <w:noBreakHyphen/>
        <w:t>related expenses of less than $250 and was entitled to a deduction up to the percentage allowed by the court.  The taxpayer, however, did not satisfy the substantiation requirements for expenses over $250, because she did not provide contemporaneous written acknowledg</w:t>
      </w:r>
      <w:r>
        <w:softHyphen/>
        <w:t>ment from the charity.  The court also held that Section 280A did not limit the deduction for part of the taxpayer’s utility bills, because the taxpayer was not engaged in a trade or business of providing foster care.</w:t>
      </w:r>
    </w:p>
    <w:p w:rsidR="00800BE7" w:rsidRDefault="00800BE7">
      <w:pPr>
        <w:widowControl/>
        <w:jc w:val="both"/>
      </w:pPr>
    </w:p>
    <w:p w:rsidR="00800BE7" w:rsidRDefault="00BC7053">
      <w:pPr>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Deduction for Conservation Easement Reduced Because Tax</w:t>
      </w:r>
      <w:r w:rsidR="00800BE7">
        <w:rPr>
          <w:b/>
          <w:bCs/>
        </w:rPr>
        <w:softHyphen/>
        <w:t xml:space="preserve">payer’s Expert Appraisal Deemed Unreliable and Irrelevant.  </w:t>
      </w:r>
      <w:r w:rsidR="00800BE7">
        <w:rPr>
          <w:b/>
          <w:bCs/>
          <w:i/>
          <w:iCs/>
        </w:rPr>
        <w:t>Boltar LLC v. Comm’r</w:t>
      </w:r>
      <w:r w:rsidR="00800BE7">
        <w:rPr>
          <w:b/>
          <w:bCs/>
        </w:rPr>
        <w:t>, 136 T.C. ___ (No. 14) (April 5, 2011)</w:t>
      </w:r>
      <w:r>
        <w:rPr>
          <w:b/>
          <w:bCs/>
        </w:rPr>
        <w:fldChar w:fldCharType="begin"/>
      </w:r>
      <w:r w:rsidR="00800BE7">
        <w:rPr>
          <w:b/>
          <w:bCs/>
        </w:rPr>
        <w:instrText>tc \l3 "Field result goes here</w:instrText>
      </w:r>
      <w:r w:rsidR="00800BE7">
        <w:rPr>
          <w:b/>
          <w:bCs/>
        </w:rPr>
        <w:tab/>
        <w:instrText>Deduction for Conservation Easement Reduced Because Tax</w:instrText>
      </w:r>
      <w:r w:rsidR="00800BE7">
        <w:rPr>
          <w:b/>
          <w:bCs/>
        </w:rPr>
        <w:softHyphen/>
        <w:instrText xml:space="preserve">payer’s Expert Appraisal Deemed Unreliable and Irrelevant.  </w:instrText>
      </w:r>
      <w:r w:rsidR="00800BE7">
        <w:rPr>
          <w:b/>
          <w:bCs/>
          <w:i/>
          <w:iCs/>
        </w:rPr>
        <w:instrText>Boltar LLC v. Comm’r</w:instrText>
      </w:r>
      <w:r w:rsidR="00800BE7">
        <w:rPr>
          <w:b/>
          <w:bCs/>
        </w:rPr>
        <w:instrText>, 136 T.C. ___ (No. 14) (April 5, 2011)</w:instrText>
      </w:r>
      <w:r>
        <w:rPr>
          <w:b/>
          <w:bCs/>
        </w:rPr>
        <w:fldChar w:fldCharType="end"/>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jc w:val="both"/>
      </w:pPr>
      <w:r>
        <w:lastRenderedPageBreak/>
        <w:t>Boltar, LLC granted a conservation easement restricting the use of approximately eight acres of land to the Shirley Heinze Land Trust, Inc.  The LLC claimed a $3,245,000 charitable contribution deduction for the easement.  The taxpayer reported a fair market value of $3,270,000 for the easement, and reduced it by $25,000 because of a claimed enhancement in value to adjacent parcels owned by the LLC as a result of the donation of the subject easement.  The LLC attached to its partnership income tax return a Form 8283, “Noncash Charitable Contributions,” signed by an appraiser.  They also attached an appraisal report, which determined that the “highest and best use” of the subject property was residential development and that the easement value was the difference between the “Foregone Develop</w:t>
      </w:r>
      <w:r>
        <w:softHyphen/>
        <w:t>ment Opportunity of 174 Condominiums on Finished Sites, Discounted to” the date of the gift, less the “Value of Raw, Vacant and Develop</w:t>
      </w:r>
      <w:r>
        <w:softHyphen/>
        <w:t xml:space="preserve">able Land.”  The IRS determined that the value of the easement was only $42,400, and assessed a deficiency. Before trial, the IRS asserted that the taxpayer’s appraisal report was neither reliable nor relevant, under the Federal Rules of Evidence and </w:t>
      </w:r>
      <w:r>
        <w:rPr>
          <w:i/>
          <w:iCs/>
        </w:rPr>
        <w:t>Daubert v. Merrell Dow Pharm., Inc.</w:t>
      </w:r>
      <w:r>
        <w:t xml:space="preserve">, 509 U.S. 579 (1993). </w:t>
      </w:r>
    </w:p>
    <w:p w:rsidR="00800BE7" w:rsidRDefault="00800BE7">
      <w:pPr>
        <w:widowControl/>
        <w:ind w:left="2160" w:firstLine="720"/>
        <w:jc w:val="both"/>
      </w:pPr>
      <w:r>
        <w:t>The Tax Court (Judge Cohen) agreed with the IRS that the taxpayer’s appraisal was irrelevant and unreliable, and precluded its admission.  The court explained that the court has a duty to exclude unreliable and irrelevant evidence, rather than admitting it “for what it is worth” and then giving it no weight, to increase the efficiency of trials and the objectivity of judgments.  The receipt of unreliable evidence is an imposition on the opposing party and on the trial process. The court stated that “in the view of the trial Judge, the expert report is so far beyond the realm of usefulness that admission is inappropriate and exclusion serves salutary purposes.”  Further</w:t>
      </w:r>
      <w:r>
        <w:softHyphen/>
        <w:t>more, the court noted, the taxpayer’s experts suggested no adjust</w:t>
      </w:r>
      <w:r>
        <w:softHyphen/>
        <w:t>ments or corrections to their calculations that would have made them more reliable.  The taxpayer’s appraiser determined that sales of comparable land nearby were occurring at approximately $12,000 an acre, but they assigned a value of approximately $400,000 per acre.  Additional factual errors made in the report “undermine the reliability of their conclusions and demonstrate the lack of sanity in their result.”</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 xml:space="preserve">Taxpayers Denied Deduction and Taxed on Gain From Charity’s Sale of Contributed Stock Because of Retained Control.  </w:t>
      </w:r>
      <w:r w:rsidR="00800BE7">
        <w:rPr>
          <w:b/>
          <w:bCs/>
          <w:i/>
          <w:iCs/>
        </w:rPr>
        <w:t>Gund</w:t>
      </w:r>
      <w:r w:rsidR="00800BE7">
        <w:rPr>
          <w:b/>
          <w:bCs/>
          <w:i/>
          <w:iCs/>
        </w:rPr>
        <w:softHyphen/>
        <w:t>anna v. Comm’r</w:t>
      </w:r>
      <w:r w:rsidR="00800BE7">
        <w:rPr>
          <w:b/>
          <w:bCs/>
        </w:rPr>
        <w:t>, 136 T.C. ___ (No. 8) (Feb. 14, 2011)</w:t>
      </w:r>
      <w:r>
        <w:fldChar w:fldCharType="begin"/>
      </w:r>
      <w:r w:rsidR="00800BE7">
        <w:instrText>tc \l3 "</w:instrText>
      </w:r>
      <w:r w:rsidR="00800BE7">
        <w:rPr>
          <w:b/>
          <w:bCs/>
        </w:rPr>
        <w:instrText>Field result goes here</w:instrText>
      </w:r>
      <w:r w:rsidR="00800BE7">
        <w:rPr>
          <w:b/>
          <w:bCs/>
        </w:rPr>
        <w:tab/>
        <w:instrText xml:space="preserve">Taxpayers Denied Deduction and Taxed on Gain From Charity’s Sale of Contributed Stock Because of Retained Control.  </w:instrText>
      </w:r>
      <w:r w:rsidR="00800BE7">
        <w:rPr>
          <w:b/>
          <w:bCs/>
          <w:i/>
          <w:iCs/>
        </w:rPr>
        <w:instrText>Gund</w:instrText>
      </w:r>
      <w:r w:rsidR="00800BE7">
        <w:rPr>
          <w:b/>
          <w:bCs/>
          <w:i/>
          <w:iCs/>
        </w:rPr>
        <w:softHyphen/>
        <w:instrText>anna v. Comm’r</w:instrText>
      </w:r>
      <w:r w:rsidR="00800BE7">
        <w:rPr>
          <w:b/>
          <w:bCs/>
        </w:rPr>
        <w:instrText>, 136 T.C. ___ (No. 8) (Feb. 14,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The taxpayer, Viralam, owned a 50% interest in a medical practice that he sold in 1998 for $2.3 million.  In 1997, Viralam joined xelan, a financial planning company that represented and advised physicians.  Viralam transferred stocks and cash to xelan in 1998. Xelan is organized under Section 501(c), but it is not a private foundation.  Xelan sold the stocks in 1998 and maintained a segregated account for Viralam.  During 2001 and 2002, xelan transferred $70,299 from the account to the University of Pennsylvania to pay the tuition of Viralam's son. The son signed loan documents that obligated him to repay the transferred amounts, plus interest, or to provide designated amounts of charitable services. Viralam claimed a charitable contribu</w:t>
      </w:r>
      <w:r>
        <w:softHyphen/>
        <w:t>tion deduction for the fair market value of the stocks and cash transferred to xelan.</w:t>
      </w:r>
    </w:p>
    <w:p w:rsidR="00800BE7" w:rsidRDefault="00800BE7">
      <w:pPr>
        <w:widowControl/>
        <w:ind w:left="2160" w:firstLine="720"/>
        <w:jc w:val="both"/>
      </w:pPr>
      <w:r>
        <w:t>The Tax Court (Judge Gale) held that the taxpayer had retained control over the appreciated stocks and cash he had transferred to xelan, and that he was both entitled to no charitable contribution deduction and taxable on the realized gains and income.  The court stated that xelan’s representations concerning the student loan program, the taxpayer’s understanding of his ability to use the funds for personal noncharitable purposes (his children’s schooling) demonstrated that the taxpayer never intended to and never did relinquish dominion and control over the property.  Furthermore, the court noted, the taxpayer failed to comply with the substantiation requirements of Section 170(f)(8).  The foundation’s written acknowl</w:t>
      </w:r>
      <w:r>
        <w:softHyphen/>
        <w:t>edgment was required to state whether goods or services were provided in consideration of the contribution and to describe them and their value, none of which were done.  The court sustained an accuracy</w:t>
      </w:r>
      <w:r>
        <w:noBreakHyphen/>
        <w:t>related penalty under Section 6662 for negligence or for substantial understatement of tax.</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No Charitable Deduction for Contributing House to Fire Depart</w:t>
      </w:r>
      <w:r w:rsidR="00800BE7">
        <w:rPr>
          <w:b/>
          <w:bCs/>
        </w:rPr>
        <w:softHyphen/>
        <w:t xml:space="preserve">ment for Burning.  </w:t>
      </w:r>
      <w:r w:rsidR="00800BE7">
        <w:rPr>
          <w:b/>
          <w:bCs/>
          <w:i/>
          <w:iCs/>
        </w:rPr>
        <w:t>Rolfs v. Comm’r</w:t>
      </w:r>
      <w:r w:rsidR="00800BE7">
        <w:rPr>
          <w:b/>
          <w:bCs/>
        </w:rPr>
        <w:t>, 135 T.C. 471 (Nov. 4, 2010)</w:t>
      </w:r>
      <w:r>
        <w:fldChar w:fldCharType="begin"/>
      </w:r>
      <w:r w:rsidR="00800BE7">
        <w:instrText>tc \l3 "</w:instrText>
      </w:r>
      <w:r w:rsidR="00800BE7">
        <w:rPr>
          <w:b/>
          <w:bCs/>
        </w:rPr>
        <w:instrText>Field result goes here</w:instrText>
      </w:r>
      <w:r w:rsidR="00800BE7">
        <w:rPr>
          <w:b/>
          <w:bCs/>
        </w:rPr>
        <w:tab/>
        <w:instrText>No Charitable Deduction for Contributing House to Fire Depart</w:instrText>
      </w:r>
      <w:r w:rsidR="00800BE7">
        <w:rPr>
          <w:b/>
          <w:bCs/>
        </w:rPr>
        <w:softHyphen/>
        <w:instrText xml:space="preserve">ment for Burning.  </w:instrText>
      </w:r>
      <w:r w:rsidR="00800BE7">
        <w:rPr>
          <w:b/>
          <w:bCs/>
          <w:i/>
          <w:iCs/>
        </w:rPr>
        <w:instrText>Rolfs v. Comm’r</w:instrText>
      </w:r>
      <w:r w:rsidR="00800BE7">
        <w:rPr>
          <w:b/>
          <w:bCs/>
        </w:rPr>
        <w:instrText>, 135 T.C. 471 (Nov. 4, 2010)</w:instrText>
      </w:r>
      <w:r>
        <w:fldChar w:fldCharType="end"/>
      </w:r>
    </w:p>
    <w:p w:rsidR="00800BE7" w:rsidRDefault="00800BE7">
      <w:pPr>
        <w:keepNext/>
        <w:keepLines/>
        <w:widowControl/>
        <w:jc w:val="both"/>
      </w:pPr>
    </w:p>
    <w:p w:rsidR="00800BE7" w:rsidRDefault="00800BE7">
      <w:pPr>
        <w:keepLines/>
        <w:widowControl/>
        <w:ind w:left="2160"/>
        <w:jc w:val="both"/>
      </w:pPr>
      <w:r>
        <w:t>Theodore and Julia, a married couple, bought a parcel of Wisconsin lakefront property in 1996 that was improved with a house built in 1900.  The couple decided to demolish the house and build a new one, which they would then exchange for another property owned by the wife’s mother.  In 1998, the couple contributed the house to the local fire department for use in its training exercises.  The fire department burned down the house.  The next month, the couple began construction of a new residence on the site.  It was established that it would have cost at least $10,000 to demolish the house.  The couple deducted $76,000 for the value of the house, determined by an appraiser. The IRS disallowed the deduction and issued a notice of deficiency. The couple petitioned the Tax Court for a redetermination, claiming in their amended petition that the deduction should be $235,350, based on the reproduction cost of the house.</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Tax Court (Judge Gayle) held that no deduction was allowed, because the couple had not proven that they did not receive a benefit equal to or exceeding the value of the house.  The court held that the taxpayers had the burden of proof, because the couple had denied the IRS access to the property.  Section 7491(a) does not permit shifting of the burden of proof to the IRS unless the taxpayer cooperates fully with the IRS in its investigation.  The court also held that the appraised value of the residence was incorrect, because the property was transferred to the fire department apart from the land and subject to a requirement that it be burned down promptly, which rendered it unsuitable for any other use.  The court concluded that the house was worthless, based on these restrictions and the IRS expert’s testimony that no one would buy the house to move it to another location, and that the house had no salvage value.  Therefore, the $10,000 benefit received from the demolition of the house by the fire department did not exceed the value of the house, and the couple was not entitled to a charitable contribution deduction.  The court noted that it had held in </w:t>
      </w:r>
      <w:r>
        <w:rPr>
          <w:i/>
          <w:iCs/>
        </w:rPr>
        <w:t>Scharf v. Comm’r</w:t>
      </w:r>
      <w:r>
        <w:t>, T.C. Memo. 1973</w:t>
      </w:r>
      <w:r>
        <w:noBreakHyphen/>
        <w:t xml:space="preserve">265, that a deduction is allowable if the taxpayer receives a benefit that is small or incidental. To court held that this case had to be viewed as overruled by </w:t>
      </w:r>
      <w:r>
        <w:rPr>
          <w:i/>
          <w:iCs/>
        </w:rPr>
        <w:t>United States v. Am. Bar Endowment</w:t>
      </w:r>
      <w:r>
        <w:t>, 477 U.S. 105 (1986) and Treas. Reg. § 1.170A</w:t>
      </w:r>
      <w:r>
        <w:noBreakHyphen/>
        <w:t>1(h)(1), which states that a charita</w:t>
      </w:r>
      <w:r>
        <w:softHyphen/>
        <w:t xml:space="preserve">ble contribution is deductible only if and to the extent it exceeds the market value of the benefit received, and if the excess payment must be made with the intention of making a gift. The court held, therefore, that the taxpayers were not subject to an accuracy-related penalty because they had acted reasonably and in good faith in claiming the deduction, they had complied with reporting requirements </w:t>
      </w:r>
      <w:r>
        <w:lastRenderedPageBreak/>
        <w:t xml:space="preserve">and kept accurate records, and no federal courts had considered the Tax Court's holding in </w:t>
      </w:r>
      <w:r>
        <w:rPr>
          <w:i/>
          <w:iCs/>
        </w:rPr>
        <w:t xml:space="preserve">Scharf </w:t>
      </w:r>
      <w:r>
        <w:t xml:space="preserve">after the Supreme Court’s opinion in </w:t>
      </w:r>
      <w:r>
        <w:rPr>
          <w:i/>
          <w:iCs/>
        </w:rPr>
        <w:t>United States v. Am. Bar Endowment</w:t>
      </w:r>
      <w:r>
        <w:t>.</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Lack of Contemporaneous Acknowledgment for Charitable Contribution of Conservation Easement Costs Taxpayer a $1,870,000 Deduction.  </w:t>
      </w:r>
      <w:r w:rsidR="00800BE7">
        <w:rPr>
          <w:b/>
          <w:bCs/>
          <w:i/>
          <w:iCs/>
        </w:rPr>
        <w:t>Bruce v. Comm’r</w:t>
      </w:r>
      <w:r w:rsidR="00800BE7">
        <w:rPr>
          <w:b/>
          <w:bCs/>
        </w:rPr>
        <w:t>, T.C. Memo 2011-153 (June 29, 2011)</w:t>
      </w:r>
      <w:r>
        <w:rPr>
          <w:b/>
          <w:bCs/>
        </w:rPr>
        <w:fldChar w:fldCharType="begin"/>
      </w:r>
      <w:r w:rsidR="00800BE7">
        <w:rPr>
          <w:b/>
          <w:bCs/>
        </w:rPr>
        <w:instrText>tc \l3 "Field result goes here</w:instrText>
      </w:r>
      <w:r w:rsidR="00800BE7">
        <w:rPr>
          <w:b/>
          <w:bCs/>
        </w:rPr>
        <w:tab/>
        <w:instrText xml:space="preserve">Lack of Contemporaneous Acknowledgment for Charitable Contribution of Conservation Easement Costs Taxpayer a $1,870,000 Deduction.  </w:instrText>
      </w:r>
      <w:r w:rsidR="00800BE7">
        <w:rPr>
          <w:b/>
          <w:bCs/>
          <w:i/>
          <w:iCs/>
        </w:rPr>
        <w:instrText>Bruce v. Comm’r</w:instrText>
      </w:r>
      <w:r w:rsidR="00800BE7">
        <w:rPr>
          <w:b/>
          <w:bCs/>
        </w:rPr>
        <w:instrText>, T.C. Memo 2011-153 (June 29, 2011)</w:instrText>
      </w:r>
      <w:r>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The taxpayer sued the county over a 50-foot-wide driveway easement.  The taxpayer settled the dispute by a Memorandum of Settlement giving him a 35</w:t>
      </w:r>
      <w:r>
        <w:noBreakHyphen/>
        <w:t>foot</w:t>
      </w:r>
      <w:r>
        <w:noBreakHyphen/>
        <w:t>wide portion of the driveway, giving the county the remaining 15</w:t>
      </w:r>
      <w:r>
        <w:noBreakHyphen/>
        <w:t>foot</w:t>
      </w:r>
      <w:r>
        <w:noBreakHyphen/>
        <w:t>wide portion, and limiting the taxpayer’s use of the parcel to a single family residence, and giving up all development rights to the subject parcel.  The county agreed to provide written acknowledgment of a donation to the county of the taxpayer’s development rights.  The substantive rights and obligations under the settlement agreement were conditioned upon receipt of the statutory and regulatory approvals from several sources.  The county sent the taxpayer a letter acknowledging and thanking him for his “donation” of the development rights to the parcel, advising him that the county did not independently appraise the donated property, and stating that the taxpayer was responsible for determining the value of the contributed easement for income tax purposes.  The taxpayer deducted $1,870,000 as the value of the easement, and IRS disallowed any deduction for lack of contemporaneous substantiation.</w:t>
      </w:r>
    </w:p>
    <w:p w:rsidR="00800BE7" w:rsidRDefault="00800BE7">
      <w:pPr>
        <w:widowControl/>
        <w:ind w:left="2160" w:firstLine="720"/>
        <w:jc w:val="both"/>
      </w:pPr>
      <w:r>
        <w:t>The Tax Court (Judge Laro) held for the IRS, finding that the taxpayers did not substantiate the reported charitable contribution, because the taxpayer failed to obtain a contemporaneous written acknowledgment of the donated property as required by Section 170(f)(8).  The court noted that Section 170(f)(8)(A) requires that the contemporaneous written acknowledgment be from a donee organiza</w:t>
      </w:r>
      <w:r>
        <w:softHyphen/>
        <w:t>tion and that it must state: (1) the amount of cash and a description of any noncash property contributed by the taxpayer; (2) whether the donee organization provided any goods or services in consideration for the property contributed; and (3) a description and good faith estimate of the value of any goods or services contributed by the taxpayer.  The court stated that the settlement agreement was not an “acknowledgment” for this purpose, because the substantive rights and obligations created by the settlement agreement were still conditioned on the county’s obtaining approval for the disposition of parkland from the commission, which did not approve the disposition for more than 15 months.  Therefore, the county could not “acknowl</w:t>
      </w:r>
      <w:r>
        <w:softHyphen/>
        <w:t>edge” the contribution, because it had not yet been made.  Further</w:t>
      </w:r>
      <w:r>
        <w:softHyphen/>
      </w:r>
      <w:r>
        <w:lastRenderedPageBreak/>
        <w:t xml:space="preserve">more, the county could not acknowledge the contribution because the settlement agreement also provided that if any term therein was not satisfied, then the taxpayer and the county agreed to return to the special master for further proceedings.  The outcome of those proceedings would replace any duty of the taxpayer to convey his development rights to the county. </w:t>
      </w:r>
    </w:p>
    <w:p w:rsidR="00800BE7" w:rsidRDefault="00800BE7">
      <w:pPr>
        <w:widowControl/>
        <w:ind w:left="2160" w:firstLine="720"/>
        <w:jc w:val="both"/>
      </w:pPr>
      <w:r>
        <w:rPr>
          <w:b/>
          <w:bCs/>
        </w:rPr>
        <w:t>Note.</w:t>
      </w:r>
      <w:r>
        <w:t xml:space="preserve">  The IRS also argued that the and deduction should be denied because the taxpayer did not attach to their 2004 income tax return a completed Form 8323 (appraisal summary) as required by Reg. § 1.170A</w:t>
      </w:r>
      <w:r>
        <w:noBreakHyphen/>
        <w:t>13(c)(2)(i)(B).  Since there was no contemporaneous acknowledgment, the court did not need to reach that issue.</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 xml:space="preserve">Gift of Artwork Deductible Only to Basis, Because One-Year Holding Period Not Begun with Option to Buy.  </w:t>
      </w:r>
      <w:r w:rsidR="00800BE7">
        <w:rPr>
          <w:b/>
          <w:bCs/>
          <w:i/>
          <w:iCs/>
        </w:rPr>
        <w:t>Williams v. Comm’r</w:t>
      </w:r>
      <w:r w:rsidR="00800BE7">
        <w:rPr>
          <w:b/>
          <w:bCs/>
        </w:rPr>
        <w:t>, T.C. Memo. 2011</w:t>
      </w:r>
      <w:r w:rsidR="00800BE7">
        <w:rPr>
          <w:b/>
          <w:bCs/>
        </w:rPr>
        <w:noBreakHyphen/>
        <w:t>89 (April 21, 2011)</w:t>
      </w:r>
      <w:r>
        <w:fldChar w:fldCharType="begin"/>
      </w:r>
      <w:r w:rsidR="00800BE7">
        <w:instrText>tc \l3 "</w:instrText>
      </w:r>
      <w:r w:rsidR="00800BE7">
        <w:rPr>
          <w:b/>
          <w:bCs/>
        </w:rPr>
        <w:instrText>Field result goes here</w:instrText>
      </w:r>
      <w:r w:rsidR="00800BE7">
        <w:rPr>
          <w:b/>
          <w:bCs/>
        </w:rPr>
        <w:tab/>
        <w:instrText xml:space="preserve">Gift of Artwork Deductible Only to Basis, Because One-Year Holding Period Not Begun with Option to Buy.  </w:instrText>
      </w:r>
      <w:r w:rsidR="00800BE7">
        <w:rPr>
          <w:b/>
          <w:bCs/>
          <w:i/>
          <w:iCs/>
        </w:rPr>
        <w:instrText>Williams v. Comm’r</w:instrText>
      </w:r>
      <w:r w:rsidR="00800BE7">
        <w:rPr>
          <w:b/>
          <w:bCs/>
        </w:rPr>
        <w:instrText>, T.C. Memo. 2011</w:instrText>
      </w:r>
      <w:r w:rsidR="00800BE7">
        <w:rPr>
          <w:b/>
          <w:bCs/>
        </w:rPr>
        <w:noBreakHyphen/>
        <w:instrText>89 (April 21,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Joseph B. Williams entered into an arrangement by which he agreed to buy artwork from Abbey Art Consultants, and then contribute the art to charity.  In each case, he bought the artwork in December under a contract stating that he wished to buy the artwork for a price that was a fixed dollar amount or, if less, a fixed percentage of its appraised value.  The appraisals would be obtained a year later, and the art would be delivered to the taxpayer or a charitable designee.  The seller would select the appraiser.  The taxpayer paid a five percent deposit, with the balance due before transfer of physical possession.  If the taxpayer failed to make the final payment, the sole remedy of the seller would be to retain ownership of the art and the deposit.  In each case, the artwork was appraised for several times the purchase price, the taxpayer made the final payment, and the art was delivered to a charity selected by the taxpayer, just over a year after the taxpayer signed the initial purchase agreement.  The IRS reduced the taxpayer’s deductions to the taxpayer’s basis in the artwork, noting that the taxpayer had not held the artwork for one year before its contribution.  The IRS also assessed accuracy</w:t>
      </w:r>
      <w:r>
        <w:noBreakHyphen/>
        <w:t>related penalties under Section 6662.</w:t>
      </w:r>
    </w:p>
    <w:p w:rsidR="00800BE7" w:rsidRDefault="00800BE7">
      <w:pPr>
        <w:widowControl/>
        <w:ind w:left="2160" w:firstLine="720"/>
        <w:jc w:val="both"/>
      </w:pPr>
      <w:r>
        <w:t xml:space="preserve">The Tax Court (Judge Gustafson) held for the IRS, both disallowing the charitable deduction and sustaining the accuracy-related penalties.  The court noted that the taxpayer can deduct the fair market value of the artwork only if it has been held for more than one year.  Code §§ 170(e), 1222(3).  The court explained that the agreement stated that the seller would hold the deposit in escrow to apply against the purchase price, and that if the taxpayer failed to pay amounts owed to the seller, the seller’s sole remedy was “to retain as liquidated damages all previous payments Client has made toward the </w:t>
      </w:r>
      <w:r>
        <w:lastRenderedPageBreak/>
        <w:t>purchase of the Art and, in addition, to reclaim ownership of the Art.”  The court noted that a draft agreement originally provided that, in the event that the taxpayer failed to pay the seller, after the seller transferred the art to the charity, it could require specific performance (payment).  The taxpayer had crossed out that sentence, and the seller accepted the agreement without any explicit right to force the taxpayer’s payment obligation.  Therefore, the court concluded, the taxpayer had the power unilaterally to decide whether to pay the remainder of the purchase price and execute a bill of sale, and the downpayment was, in effect, an option to buy the art, rather than a purchase of the art.  The taxpayer’s holding period, therefore, began when he exercised the option by making the final payment, not when he paid for the option.  The court also sustained the accuracy related penalty, noting that a taxpayer is negligent whenever the taxpayer puts his or her faith in a scheme that clearly offers improbably high tax advantages, and the taxpayer does not obtain an objective and independent opinion on the validity of the transaction.</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Tax Court Rejects Both Side’s Appraisals in Valuing Conserva</w:t>
      </w:r>
      <w:r w:rsidR="00800BE7">
        <w:rPr>
          <w:b/>
          <w:bCs/>
        </w:rPr>
        <w:softHyphen/>
        <w:t xml:space="preserve">tion Easement and Applies 30% of Contribution Base Limitation to Gift by LLC.  </w:t>
      </w:r>
      <w:r w:rsidR="00800BE7">
        <w:rPr>
          <w:b/>
          <w:bCs/>
          <w:i/>
          <w:iCs/>
        </w:rPr>
        <w:t>Trout Ranch LLC v. Comm’r</w:t>
      </w:r>
      <w:r w:rsidR="00800BE7">
        <w:rPr>
          <w:b/>
          <w:bCs/>
        </w:rPr>
        <w:t>, T.C. Memo. 2010-283 (Dec. 27, 2010)</w:t>
      </w:r>
      <w:r>
        <w:fldChar w:fldCharType="begin"/>
      </w:r>
      <w:r w:rsidR="00800BE7">
        <w:instrText>tc \l3 "</w:instrText>
      </w:r>
      <w:r w:rsidR="00800BE7">
        <w:rPr>
          <w:b/>
          <w:bCs/>
        </w:rPr>
        <w:instrText>Field result goes here</w:instrText>
      </w:r>
      <w:r w:rsidR="00800BE7">
        <w:rPr>
          <w:b/>
          <w:bCs/>
        </w:rPr>
        <w:tab/>
        <w:instrText>Tax Court Rejects Both Side’s Appraisals in Valuing Conserva</w:instrText>
      </w:r>
      <w:r w:rsidR="00800BE7">
        <w:rPr>
          <w:b/>
          <w:bCs/>
        </w:rPr>
        <w:softHyphen/>
        <w:instrText xml:space="preserve">tion Easement and Applies 30% of Contribution Base Limitation to Gift by LLC.  </w:instrText>
      </w:r>
      <w:r w:rsidR="00800BE7">
        <w:rPr>
          <w:b/>
          <w:bCs/>
          <w:i/>
          <w:iCs/>
        </w:rPr>
        <w:instrText>Trout Ranch LLC v. Comm’r</w:instrText>
      </w:r>
      <w:r w:rsidR="00800BE7">
        <w:rPr>
          <w:b/>
          <w:bCs/>
        </w:rPr>
        <w:instrText>, T.C. Memo. 2010-283 (Dec. 27, 2010)</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Trout Ranch was formed in late 2002 and in January, 2003, the LLC bought certain land and water rights. The LLC intended to develop a residential subdivision with amenities that would include a clubhouse, a guest house, fishing, a riding arena and stable, ponds, a boathouse, duck blinds, and an archery range.  In December, 2003, the LLC donated to the Crested Butte Land Trust a conservation easement in the form of water rights. The remaining acres were to be divided into 21 three-acre lots and a clubhouse.  On its 2003 Form 1065, the LLC claimed a charitable contribution of $2.2 million for the contribution of the conservation easement. The IRS initially reduced the deduction to $485,000, but at trial disallowed the entire deduction.</w:t>
      </w:r>
    </w:p>
    <w:p w:rsidR="00800BE7" w:rsidRDefault="00800BE7">
      <w:pPr>
        <w:widowControl/>
        <w:ind w:left="2160" w:firstLine="720"/>
        <w:jc w:val="both"/>
      </w:pPr>
      <w:r>
        <w:t xml:space="preserve">The Tax Court (Judge Halpern) rejected the analysis of both sets of appraisers. The IRS's appraiser stated that the easement was worth nothing, applying the income approach to calculate and compare the highest and best use of the property.  The LLC’s expert stated that the easement was worth $2.2 million, using the original value of the property, sales of similar properties, and estimating how the conservation easement decreased the value of the property.  The Tax Court concluded that the residential subdivision had, “at the time of the donation of the conservation easement, a present value of approximately $4.45 million” and, after the easement, a value of $3.89 </w:t>
      </w:r>
      <w:r>
        <w:lastRenderedPageBreak/>
        <w:t>million (as a 21</w:t>
      </w:r>
      <w:r>
        <w:noBreakHyphen/>
        <w:t>lot shared ranch).  Therefore, the court allowed a deduction of $560,000.  The court noted Section 170(b)(1) percentage limitation rules is a partnership item best applied at the partnership level, rather than at the partner level.</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Deduction Denied because Appraisal Did Not State Contribution Date, Date of the Appraisal, and Fair Market Value on Contribu</w:t>
      </w:r>
      <w:r w:rsidR="00800BE7">
        <w:rPr>
          <w:b/>
          <w:bCs/>
        </w:rPr>
        <w:softHyphen/>
        <w:t xml:space="preserve">tion Date.  </w:t>
      </w:r>
      <w:r w:rsidR="00800BE7">
        <w:rPr>
          <w:b/>
          <w:bCs/>
          <w:i/>
          <w:iCs/>
        </w:rPr>
        <w:t>Lord v. Comm’r</w:t>
      </w:r>
      <w:r w:rsidR="00800BE7">
        <w:rPr>
          <w:b/>
          <w:bCs/>
        </w:rPr>
        <w:t>, T.C. Memo. 2010</w:t>
      </w:r>
      <w:r w:rsidR="00800BE7">
        <w:rPr>
          <w:b/>
          <w:bCs/>
        </w:rPr>
        <w:noBreakHyphen/>
        <w:t>196 (Sept. 8, 2010)</w:t>
      </w:r>
      <w:r>
        <w:fldChar w:fldCharType="begin"/>
      </w:r>
      <w:r w:rsidR="00800BE7">
        <w:instrText>tc \l3 "</w:instrText>
      </w:r>
      <w:r w:rsidR="00800BE7">
        <w:rPr>
          <w:b/>
          <w:bCs/>
        </w:rPr>
        <w:instrText>Field result goes here</w:instrText>
      </w:r>
      <w:r w:rsidR="00800BE7">
        <w:rPr>
          <w:b/>
          <w:bCs/>
        </w:rPr>
        <w:tab/>
        <w:instrText>Deduction Denied because Appraisal Did Not State Contribution Date, Date of the Appraisal, and Fair Market Value on Contribu</w:instrText>
      </w:r>
      <w:r w:rsidR="00800BE7">
        <w:rPr>
          <w:b/>
          <w:bCs/>
        </w:rPr>
        <w:softHyphen/>
        <w:instrText xml:space="preserve">tion Date.  </w:instrText>
      </w:r>
      <w:r w:rsidR="00800BE7">
        <w:rPr>
          <w:b/>
          <w:bCs/>
          <w:i/>
          <w:iCs/>
        </w:rPr>
        <w:instrText>Lord v. Comm’r</w:instrText>
      </w:r>
      <w:r w:rsidR="00800BE7">
        <w:rPr>
          <w:b/>
          <w:bCs/>
        </w:rPr>
        <w:instrText>, T.C. Memo. 2010</w:instrText>
      </w:r>
      <w:r w:rsidR="00800BE7">
        <w:rPr>
          <w:b/>
          <w:bCs/>
        </w:rPr>
        <w:noBreakHyphen/>
        <w:instrText>196 (Sept. 8, 2010)</w:instrText>
      </w:r>
      <w:r>
        <w:fldChar w:fldCharType="end"/>
      </w:r>
    </w:p>
    <w:p w:rsidR="00800BE7" w:rsidRDefault="00800BE7">
      <w:pPr>
        <w:keepNext/>
        <w:keepLines/>
        <w:widowControl/>
        <w:jc w:val="both"/>
      </w:pPr>
    </w:p>
    <w:p w:rsidR="00800BE7" w:rsidRDefault="00800BE7">
      <w:pPr>
        <w:keepLines/>
        <w:widowControl/>
        <w:ind w:left="2160"/>
        <w:jc w:val="both"/>
      </w:pPr>
      <w:r>
        <w:t>On December 30, 1999, Henry and his wife granted a conservation easement to a qualified exempt organization with respect to certain real property they owned in Baltimore, Maryland.  They hired an appraiser who prepared an appraisal report, stating that the ease</w:t>
      </w:r>
      <w:r>
        <w:softHyphen/>
        <w:t>ment’s estimated market value was $242,500.  The appraisal had an “effective date” of December 31, 1999, and a “ report date” of January 4, 2000.</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The Tax Court (Judge Foley) held that the taxpayer was entitled to no deduction for the contribution, because the appraisal did not meet the requirements for a qualified appraisal.  Regs. § 1.170A-</w:t>
      </w:r>
      <w:r>
        <w:softHyphen/>
        <w:t>13(c).  The court noted that the appraisal did not include the easement contribution date, the date the appraisal was performed, or the appraised fair market value of the easement contribution on the contribution date.  The court also stated that the doctrine of substan</w:t>
      </w:r>
      <w:r>
        <w:softHyphen/>
        <w:t xml:space="preserve">tial compliance was not applicable, because significant information is omitted.  See </w:t>
      </w:r>
      <w:r>
        <w:rPr>
          <w:i/>
          <w:iCs/>
        </w:rPr>
        <w:t>Hewitt v. Comm’r</w:t>
      </w:r>
      <w:r>
        <w:t>, 109 T.C. 258</w:t>
      </w:r>
      <w:r>
        <w:rPr>
          <w:b/>
          <w:bCs/>
        </w:rPr>
        <w:t xml:space="preserve">, </w:t>
      </w:r>
      <w:r>
        <w:t>263</w:t>
      </w:r>
      <w:r>
        <w:noBreakHyphen/>
        <w:t>265 (1997),</w:t>
      </w:r>
      <w:r>
        <w:rPr>
          <w:i/>
          <w:iCs/>
        </w:rPr>
        <w:t xml:space="preserve"> aff’d without published opinion </w:t>
      </w:r>
      <w:r>
        <w:t>166 F.3d 332 (4th Cir. 1998).  The court stated that it simply did “not know what the appraiser intended in referencing the Page appraisal’s ‘ effective date’ and ‘report date’, and there was no testimony to clarify this matter because the case was fully stipulated.”</w:t>
      </w:r>
    </w:p>
    <w:p w:rsidR="00800BE7" w:rsidRDefault="00800BE7">
      <w:pPr>
        <w:widowControl/>
        <w:jc w:val="both"/>
      </w:pPr>
    </w:p>
    <w:p w:rsidR="00800BE7" w:rsidRDefault="00BC7053">
      <w:pPr>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Provides Guidance on Relying on IRS Publications for Deductibility of Charitable Contributions.  Rev. Proc. 2011-33, 2011-25 I.R.B. 887 (June 20, 2011)</w:t>
      </w:r>
      <w:r>
        <w:fldChar w:fldCharType="begin"/>
      </w:r>
      <w:r w:rsidR="00800BE7">
        <w:instrText>tc \l3 "</w:instrText>
      </w:r>
      <w:r w:rsidR="00800BE7">
        <w:rPr>
          <w:b/>
          <w:bCs/>
        </w:rPr>
        <w:instrText>Field result goes here</w:instrText>
      </w:r>
      <w:r w:rsidR="00800BE7">
        <w:rPr>
          <w:b/>
          <w:bCs/>
        </w:rPr>
        <w:tab/>
        <w:instrText>IRS Provides Guidance on Relying on IRS Publications for Deductibility of Charitable Contributions.  Rev. Proc. 2011-33, 2011-25 I.R.B. 887 (June 20, 2011)</w:instrText>
      </w:r>
      <w:r>
        <w:fldChar w:fldCharType="end"/>
      </w:r>
    </w:p>
    <w:p w:rsidR="00800BE7" w:rsidRDefault="00800BE7">
      <w:pPr>
        <w:widowControl/>
        <w:jc w:val="both"/>
      </w:pPr>
    </w:p>
    <w:p w:rsidR="00800BE7" w:rsidRDefault="00800BE7">
      <w:pPr>
        <w:widowControl/>
        <w:ind w:left="2160"/>
        <w:jc w:val="both"/>
      </w:pPr>
      <w:r>
        <w:t>The IRS stated that taxpayers may rely on IRS Pub. 78, which is a list of organizations recognized as exempt, which is available only on-line (</w:t>
      </w:r>
      <w:r>
        <w:rPr>
          <w:rStyle w:val="Hypertext"/>
        </w:rPr>
        <w:t>http://www.irs.gov/app/pub-78)</w:t>
      </w:r>
      <w:r>
        <w:t xml:space="preserve"> for purposes of deduction of contribu</w:t>
      </w:r>
      <w:r>
        <w:softHyphen/>
        <w:t>tions to the organizations.  The Pub. 78 is updated every six months.  Taxpayers may also rely on a ruling or determination letter received by an organization, until the IRS makes public any change in the organization’s status, unless the taxpayer was responsible for, or aware of, the act or failure that resulted in the termination of the organization’s exempt status.  Treas. Reg. § 1.509(a)-7(a).  Taxpay</w:t>
      </w:r>
      <w:r>
        <w:softHyphen/>
      </w:r>
      <w:r>
        <w:lastRenderedPageBreak/>
        <w:t>ers may also rely on the more-detailed data that can be found in the IRS Business Master File (BMF), which is available on-line and updated monthly (http://www.irs.gov/taxstats/charitablestats/article /0,,id=97186,00.html).</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Limits Trust’s Deduction for Charitable Distribution of Appreciated Property Bought by Trust.  CCM 201042023 (Oct. 22, 2010)</w:t>
      </w:r>
      <w:r>
        <w:rPr>
          <w:b/>
          <w:bCs/>
        </w:rPr>
        <w:fldChar w:fldCharType="begin"/>
      </w:r>
      <w:r w:rsidR="00800BE7">
        <w:rPr>
          <w:b/>
          <w:bCs/>
        </w:rPr>
        <w:instrText>tc \l3 "Field result goes here</w:instrText>
      </w:r>
      <w:r w:rsidR="00800BE7">
        <w:rPr>
          <w:b/>
          <w:bCs/>
        </w:rPr>
        <w:tab/>
        <w:instrText>IRS Limits Trust’s Deduction for Charitable Distribution of Appreciated Property Bought by Trust.  CCM 201042023 (Oct. 22, 2010)</w:instrText>
      </w:r>
      <w:r>
        <w:rPr>
          <w:b/>
          <w:bCs/>
        </w:rPr>
        <w:fldChar w:fldCharType="end"/>
      </w:r>
    </w:p>
    <w:p w:rsidR="00800BE7" w:rsidRDefault="00800BE7">
      <w:pPr>
        <w:keepNext/>
        <w:keepLines/>
        <w:widowControl/>
        <w:jc w:val="both"/>
      </w:pPr>
    </w:p>
    <w:p w:rsidR="00800BE7" w:rsidRDefault="00800BE7">
      <w:pPr>
        <w:keepLines/>
        <w:widowControl/>
        <w:ind w:left="2160"/>
        <w:jc w:val="both"/>
      </w:pPr>
      <w:r>
        <w:t>The governing instrument of Trust authorizes the trustee to distribute to charity such amounts from Trust’s gross income as the trustee determines appropriate to help carry out its charitable mission.  Trust bought certain real estate from gross income in prior years, and the property has appreciated.  The trustee distributed the appreciated properties to charities.</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lastRenderedPageBreak/>
        <w:t xml:space="preserve">The IRS Chief Counsel stated that the trust’s income tax deduction for the charitable distributions was limited to the trust’s adjusted basis in the properties.  The IRS discussed several cases that related to this issue, though none directly addressed it.  In </w:t>
      </w:r>
      <w:r>
        <w:rPr>
          <w:i/>
          <w:iCs/>
        </w:rPr>
        <w:t>Old Colony Trust Co. v. Comm’r</w:t>
      </w:r>
      <w:r>
        <w:t xml:space="preserve">, 301 U. S. 379 (1937) the Supreme Court  stated that it was not necessary for a trust to prove that contributions of cash to charity were derived from gross income earned in the same year in which the cash was distributed, because an income tax deduction was allowed for a distribution of accumulated gross income.  In </w:t>
      </w:r>
      <w:r>
        <w:rPr>
          <w:i/>
          <w:iCs/>
        </w:rPr>
        <w:t>W. K. Frank Trust of 1931 v. Comm’r</w:t>
      </w:r>
      <w:r>
        <w:t xml:space="preserve">, 145 F.2d 411 (3d Cir. 1944), </w:t>
      </w:r>
      <w:r>
        <w:rPr>
          <w:i/>
          <w:iCs/>
        </w:rPr>
        <w:t>aff’g</w:t>
      </w:r>
      <w:r>
        <w:t xml:space="preserve"> 2 T.C. 1157 (1943), the trustees contributed securities to charity which had been received in a tax</w:t>
      </w:r>
      <w:r>
        <w:noBreakHyphen/>
        <w:t xml:space="preserve">free exchange for securities that made up the original trust corpus.  The trust gross income exceeded the value of the distributed securities, and the Third Circuit and the Tax Court held that the distribution did not come from gross income, and was therefore not deductible.  The Tax Court stated in that case that, had the trust sold the shares and realized its gain, and then distributed to charity the proceeds of the sale, a deduction would have been allowed.  In </w:t>
      </w:r>
      <w:r>
        <w:rPr>
          <w:i/>
          <w:iCs/>
        </w:rPr>
        <w:t>Crestar Bank v. IRS</w:t>
      </w:r>
      <w:r>
        <w:t xml:space="preserve">, 47 F. Supp. 2d 670 (E.D. Va. 1999), a district court denied an income tax deduction for an estate distribution of stock owned by the decedent at death, rejecting an argument that it did not matter whether the charitable distribution was traceable to gross income, if there was sufficient gross income to cover the distribution.  The court held that “[t]he Estate’s reading of </w:t>
      </w:r>
      <w:r>
        <w:rPr>
          <w:i/>
          <w:iCs/>
        </w:rPr>
        <w:t xml:space="preserve">Old Colony Trust Co. </w:t>
      </w:r>
      <w:r>
        <w:t xml:space="preserve">. . . would destroy the tracing requirement of § 642(c).”  47 F.Supp.2d at 677.  The district court stated that the deduction under Section 642(c)(1) requires that contributions have their source in gross income; therefore, the stature requires tracing to determine the source of the contribution.  In </w:t>
      </w:r>
      <w:r>
        <w:rPr>
          <w:i/>
          <w:iCs/>
        </w:rPr>
        <w:t xml:space="preserve">United States v. </w:t>
      </w:r>
      <w:r>
        <w:rPr>
          <w:i/>
          <w:iCs/>
        </w:rPr>
        <w:lastRenderedPageBreak/>
        <w:t>Benedict</w:t>
      </w:r>
      <w:r>
        <w:t xml:space="preserve">, 338 U.S. 692 (1950), the Supreme Court held that a distribution of capital gains under the predecessor to Section 642(c) was not deductible, because the gains were excludable from gross income under the then-extant law.  The Court in that case, citing </w:t>
      </w:r>
      <w:r>
        <w:rPr>
          <w:i/>
          <w:iCs/>
        </w:rPr>
        <w:t>W.K. Frank</w:t>
      </w:r>
      <w:r>
        <w:t xml:space="preserve">, stated that “[w]e treat that percentage of capital gains which expressly is not to be taken into account in computing taxable net income as also excluded from statutory gross income.” 338 U.S. at 699.  The IRS also quoted from secondary authorities.  One stated that unrealized appreciation should not be considered as gross income under Section 642(c), because to do so would yield a double tax advantage: (1) avoidance of tax on the potential gain, and (2) the ability to deduct not only the basis, but also the gain, from gross income.  Ferguson, Freeland &amp; Ascher, </w:t>
      </w:r>
      <w:r>
        <w:rPr>
          <w:i/>
          <w:iCs/>
        </w:rPr>
        <w:t xml:space="preserve">Federal Income Taxation of Estates, Trusts, and Beneficiaries </w:t>
      </w:r>
      <w:r>
        <w:t xml:space="preserve">§ 5.9 (Aspen, 2d ed.).  Another viewed </w:t>
      </w:r>
      <w:r>
        <w:rPr>
          <w:i/>
          <w:iCs/>
        </w:rPr>
        <w:t xml:space="preserve">Old Colony Trust </w:t>
      </w:r>
      <w:r>
        <w:t xml:space="preserve">as authority for a deduction of the distribution of assets up to the amount of gross income for that year, if the controlling document does not specifically designate the payment as coming from principal, whether made from “prior years’ cash accumulations, principal, or income receipts in hand, such as stock dividends or borrowings, as well as principal assets . . . .”  Abbin, </w:t>
      </w:r>
      <w:r>
        <w:rPr>
          <w:i/>
          <w:iCs/>
        </w:rPr>
        <w:t>Income Taxation of Fiduciaries and Beneficiaries</w:t>
      </w:r>
      <w:r>
        <w:t>, § 4128.3 (2006).  The IRS concluded that, considering all of the authorities, and despite the fact that no prior cases or other authority has so limited a Section 642(c) deduction, the trust cannot deduct more than its adjusted basis of the properties purchased from accumulated gross income under Section 642(c).</w:t>
      </w:r>
    </w:p>
    <w:p w:rsidR="00800BE7" w:rsidRDefault="00800BE7">
      <w:pPr>
        <w:widowControl/>
        <w:jc w:val="both"/>
      </w:pP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1440" w:hanging="720"/>
        <w:jc w:val="both"/>
      </w:pPr>
      <w:r>
        <w:rPr>
          <w:b/>
          <w:bCs/>
        </w:rPr>
        <w:lastRenderedPageBreak/>
        <w:fldChar w:fldCharType="begin"/>
      </w:r>
      <w:r w:rsidR="00800BE7">
        <w:rPr>
          <w:b/>
          <w:bCs/>
        </w:rPr>
        <w:instrText>LISTNUM Outline \l 2</w:instrText>
      </w:r>
      <w:r>
        <w:rPr>
          <w:b/>
          <w:bCs/>
        </w:rPr>
        <w:fldChar w:fldCharType="end"/>
      </w:r>
      <w:r w:rsidR="00800BE7">
        <w:rPr>
          <w:b/>
          <w:bCs/>
        </w:rPr>
        <w:tab/>
        <w:t>Code § 642(h).  Losses and Deductions At Termination of Estate or Trust</w:t>
      </w:r>
      <w:r>
        <w:rPr>
          <w:b/>
          <w:bCs/>
        </w:rPr>
        <w:fldChar w:fldCharType="begin"/>
      </w:r>
      <w:r w:rsidR="00800BE7">
        <w:rPr>
          <w:b/>
          <w:bCs/>
        </w:rPr>
        <w:instrText>tc \l2 "Field result goes here</w:instrText>
      </w:r>
      <w:r w:rsidR="00800BE7">
        <w:rPr>
          <w:b/>
          <w:bCs/>
        </w:rPr>
        <w:tab/>
        <w:instrText>Code § 642(h).  Losses and Deductions At Termination of Estate or Trust</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Beneficiaries of Insolvent Estate Cannot Take Estate's Unused Capital Loss Carryovers.  ILS 201047021 (Nov. 26, 2010)</w:t>
      </w:r>
      <w:r w:rsidR="00BC7053">
        <w:rPr>
          <w:b/>
          <w:bCs/>
        </w:rPr>
        <w:fldChar w:fldCharType="begin"/>
      </w:r>
      <w:r>
        <w:rPr>
          <w:b/>
          <w:bCs/>
        </w:rPr>
        <w:instrText>tc \l3 "Beneficiaries of Insolvent Estate Cannot Take Estate's Unused Capital Loss Carryovers.  ILS 201047021 (Nov. 26, 2010)</w:instrText>
      </w:r>
      <w:r w:rsidR="00BC7053">
        <w:rPr>
          <w:b/>
          <w:bCs/>
        </w:rPr>
        <w:fldChar w:fldCharType="end"/>
      </w:r>
    </w:p>
    <w:p w:rsidR="00800BE7" w:rsidRDefault="00800BE7">
      <w:pPr>
        <w:keepNext/>
        <w:keepLines/>
        <w:widowControl/>
        <w:jc w:val="both"/>
      </w:pPr>
    </w:p>
    <w:p w:rsidR="00800BE7" w:rsidRDefault="00800BE7">
      <w:pPr>
        <w:keepLines/>
        <w:widowControl/>
        <w:ind w:left="1440"/>
        <w:jc w:val="both"/>
      </w:pPr>
      <w:r>
        <w:t>D’s will left his estate to his widow, S, and on her death to four named beneficiaries.  D had unpaid federal income taxes at his death and, while the estate and the IRS were negotiating a settlement, S died.  The preliminary tax settlement addressed four taxable years and left the estate insolvent, with no property remaining to pass to the heirs.  A later settlement addressed only two taxable years and reduced the tax obligation, though the decedent’s estate remained insolvent.  The estate anticipated reporting a capital loss carryover and received an opinion from its tax counsel that the settlement agreement with the IRS did not prevent it from allocating the unused carryover loss to the four beneficiaries.  The state court, at the request of the personal representative, directed the estate to issue Schedule K</w:t>
      </w:r>
      <w:r>
        <w:noBreakHyphen/>
        <w:t>1s (Form 1041), "Beneficiary's Share of Income, Deductions, Credits, etc.," to the four residuary beneficiaries, reporting their share of the unused capital losses.</w:t>
      </w:r>
    </w:p>
    <w:p w:rsidR="00800BE7" w:rsidRDefault="00800BE7">
      <w:pPr>
        <w:widowControl/>
        <w:ind w:left="1440" w:firstLine="720"/>
        <w:jc w:val="both"/>
      </w:pPr>
      <w:r>
        <w:t>The Department of Justice, Tax Division, contacted the IRS Chief Counsel’s Office regarding , in part, whether the underlying proposal to issue Schedules K</w:t>
      </w:r>
      <w:r>
        <w:noBreakHyphen/>
        <w:t>1 to the beneficiaries is correct.</w:t>
      </w:r>
    </w:p>
    <w:p w:rsidR="00800BE7" w:rsidRDefault="00800BE7">
      <w:pPr>
        <w:widowControl/>
        <w:ind w:left="144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1440" w:firstLine="720"/>
        <w:jc w:val="both"/>
      </w:pPr>
      <w:r>
        <w:lastRenderedPageBreak/>
        <w:t>The IRS concluded that the four beneficiaries did not "succeed to the property of the estate" under Section 642(h)(1), because "as a legal matter, the individual beneficiaries could no longer receive anything" under the insolvent estate.  Section 642(h)(1) states that if on the termination of an estate or trust, any net operating loss carryover or capital loss carryover shall be allowed as a deduction to the beneficiaries succeeding to the property of the estate or trust.  Treas. Regs. § 1.642(h)</w:t>
      </w:r>
      <w:r>
        <w:noBreakHyphen/>
        <w:t>3(a) states that the "beneficiaries succeeding to the property of the estate or trust" means those beneficiaries who bear the burden of any loss for which a carryover is allowed.  Treas. Regs. § 1.642(h)</w:t>
      </w:r>
      <w:r>
        <w:noBreakHyphen/>
        <w:t>3(b) states that, if an intestate estate is insolvent, Section 642(h)(1) applies to the beneficiaries to whom the estate would have been distributed if it had not been insolvent.  Treas. Regs. § 1.642(h)-3(c) states that the "beneficiaries succeeding to the property of” a testate estate or trust means the residuary beneficiaries, rather than specific legatees or devisees, pecuniary legatees, or other nonresidu</w:t>
      </w:r>
      <w:r>
        <w:softHyphen/>
        <w:t xml:space="preserve">ary beneficiaries.  These beneficiaries to whom the loss passes from a testate estate, however, does not include the recipient of a specific sum of money even though it is payable out of the residue, except to the extent that it is not payable in full.  An example in the regulations states that, where a specific bequest exceeds the entire estate, the beneficiary of the specific bequest succeeds to the losses of the estate.  The IRS noted that the regulations do not address directly an insolvent testate estate.  The IRS noted that any losses that the estate in the ruling </w:t>
      </w:r>
      <w:r>
        <w:lastRenderedPageBreak/>
        <w:t>incurred would actually be to the detriment of the government, rather than to the detriment of the beneficiaries.  There</w:t>
      </w:r>
      <w:r>
        <w:softHyphen/>
        <w:t>fore, the individual beneficiaries of the estate should no longer be considered beneficiaries after the estate entered into the settlement agreement to transfer all the proceeds of the estate to the United States.  Here, as a legal matter, the individual beneficia</w:t>
      </w:r>
      <w:r>
        <w:softHyphen/>
        <w:t>ries could no longer receive anything and any losses incurred by the estate were to the detriment of the United States rather than the individual beneficiaries.</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661 and 662.  Taxation of Trust Distributions</w:t>
      </w:r>
      <w:r>
        <w:rPr>
          <w:b/>
          <w:bCs/>
        </w:rPr>
        <w:fldChar w:fldCharType="begin"/>
      </w:r>
      <w:r w:rsidR="00800BE7">
        <w:rPr>
          <w:b/>
          <w:bCs/>
        </w:rPr>
        <w:instrText>tc \l2 "Field result goes here</w:instrText>
      </w:r>
      <w:r w:rsidR="00800BE7">
        <w:rPr>
          <w:b/>
          <w:bCs/>
        </w:rPr>
        <w:tab/>
        <w:instrText>Code §§ 661 and 662.  Taxation of Trust Distributions</w:instrText>
      </w:r>
      <w:r>
        <w:rPr>
          <w:b/>
          <w:bCs/>
        </w:rP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 xml:space="preserve">Taxpayer Taxed on All Distributions from Domestic and Foreign Trusts.  </w:t>
      </w:r>
      <w:r w:rsidR="00800BE7">
        <w:rPr>
          <w:b/>
          <w:bCs/>
          <w:i/>
          <w:iCs/>
        </w:rPr>
        <w:t>Rahall v. Comm’r</w:t>
      </w:r>
      <w:r w:rsidR="00800BE7">
        <w:rPr>
          <w:b/>
          <w:bCs/>
        </w:rPr>
        <w:t>; T.C. Memo. 2011</w:t>
      </w:r>
      <w:r w:rsidR="00800BE7">
        <w:rPr>
          <w:b/>
          <w:bCs/>
        </w:rPr>
        <w:noBreakHyphen/>
        <w:t>101 (May 16, 2011)</w:t>
      </w:r>
      <w:r>
        <w:rPr>
          <w:b/>
          <w:bCs/>
        </w:rPr>
        <w:fldChar w:fldCharType="begin"/>
      </w:r>
      <w:r w:rsidR="00800BE7">
        <w:rPr>
          <w:b/>
          <w:bCs/>
        </w:rPr>
        <w:instrText>tc \l3 "Field result goes here</w:instrText>
      </w:r>
      <w:r w:rsidR="00800BE7">
        <w:rPr>
          <w:b/>
          <w:bCs/>
        </w:rPr>
        <w:tab/>
        <w:instrText xml:space="preserve">Taxpayer Taxed on All Distributions from Domestic and Foreign Trusts.  </w:instrText>
      </w:r>
      <w:r w:rsidR="00800BE7">
        <w:rPr>
          <w:b/>
          <w:bCs/>
          <w:i/>
          <w:iCs/>
        </w:rPr>
        <w:instrText>Rahall v. Comm’r</w:instrText>
      </w:r>
      <w:r w:rsidR="00800BE7">
        <w:rPr>
          <w:b/>
          <w:bCs/>
        </w:rPr>
        <w:instrText>; T.C. Memo. 2011</w:instrText>
      </w:r>
      <w:r w:rsidR="00800BE7">
        <w:rPr>
          <w:b/>
          <w:bCs/>
        </w:rPr>
        <w:noBreakHyphen/>
        <w:instrText>101 (May 16, 2011)</w:instrText>
      </w:r>
      <w:r>
        <w:rPr>
          <w:b/>
          <w:bCs/>
        </w:rPr>
        <w:fldChar w:fldCharType="end"/>
      </w:r>
    </w:p>
    <w:p w:rsidR="00800BE7" w:rsidRDefault="00800BE7">
      <w:pPr>
        <w:keepNext/>
        <w:keepLines/>
        <w:widowControl/>
        <w:jc w:val="both"/>
      </w:pPr>
    </w:p>
    <w:p w:rsidR="00800BE7" w:rsidRDefault="00800BE7">
      <w:pPr>
        <w:keepLines/>
        <w:widowControl/>
        <w:ind w:left="2160"/>
        <w:jc w:val="both"/>
      </w:pPr>
      <w:r>
        <w:t>Jeffrey Rahall, the taxpayer, was the beneficiary of several domestic and foreign trusts, some of which had been created by his parents.  He received substantial distributions from each trust, both by direct payment of cash to him and by the trusts’ payment of his expenses and those of his friend.  The taxpayer contended that these were largely distributions of principal.</w:t>
      </w:r>
    </w:p>
    <w:p w:rsidR="00800BE7" w:rsidRDefault="00800BE7">
      <w:pPr>
        <w:widowControl/>
        <w:ind w:left="2160" w:firstLine="720"/>
        <w:jc w:val="both"/>
      </w:pPr>
      <w:r>
        <w:t xml:space="preserve">The Tax Court (Judge Cohen) held that the taxpayer was taxable on the distributions from the trusts, except to the extent that he could prove that they were not made from income, and that the taxpayer had not proved that any of the distributions were made from principal. The court noted that the trustees of two 1964 trusts, one domestic and one foreign, authorized the trustees to accumulate or distribute income and corpus.  Therefore, to the extent that the amounts the taxpayer received from the 1964 trusts represented trust income, he must include them in his taxable income.  The court held that the taxpayer failed to provide supporting documentation that would distinguish between corpus and income and failed to prove that the amounts he received were principal, rather than income.  The taxpayer must, therefore, include the entire amounts he received from the 1964 trusts in income.  The court held that a 1978 domestic trust was a grantor trust with respect to the taxpayer, because the taxpayer had full control over the trust, as indicated by the trust instrument.  None of the other trustees or other persons could limit the distribution of either principal or income to the taxpayer, so the taxpayer was taxable on all of the income of that trust, whether or not distributed. </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IRS Adds Income Tax Consequences of Decanting to No-Ruling List.  Rev. Proc. 2011-3, 2011-1 I.R.B. 111 (Jan. 3, 2011)</w:t>
      </w:r>
      <w:r>
        <w:fldChar w:fldCharType="begin"/>
      </w:r>
      <w:r w:rsidR="00800BE7">
        <w:instrText>tc \l3 "</w:instrText>
      </w:r>
      <w:r w:rsidR="00800BE7">
        <w:rPr>
          <w:b/>
          <w:bCs/>
        </w:rPr>
        <w:instrText>Field result goes here</w:instrText>
      </w:r>
      <w:r w:rsidR="00800BE7">
        <w:rPr>
          <w:b/>
          <w:bCs/>
        </w:rPr>
        <w:tab/>
        <w:instrText>IRS Adds Income Tax Consequences of Decanting to No-Ruling List.  Rev. Proc. 2011-3, 2011-1 I.R.B. 111 (Jan. 3, 2011)</w:instrText>
      </w:r>
      <w: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The IRS added to its no-rulings list the question of whether the distribution of property by a trustee from an irrevocable trust to another irrevocable trust by decanting that results in a change in beneficial interests is a distribution for which an income tax deduction is allowable under Section 661 or which requires an amount to be included in the gross income of any person under Section 662.  This issue is designated one that is currently under study.</w:t>
      </w:r>
    </w:p>
    <w:p w:rsidR="00800BE7" w:rsidRDefault="00800BE7">
      <w:pPr>
        <w:widowControl/>
        <w:ind w:left="2160" w:firstLine="720"/>
        <w:jc w:val="both"/>
      </w:pPr>
      <w:r>
        <w:rPr>
          <w:b/>
          <w:bCs/>
        </w:rPr>
        <w:t>Note.</w:t>
      </w:r>
      <w:r>
        <w:t xml:space="preserve">  See also no-ruling position regarding the income tax consequences of decanting, discussed below, and the gift tax consequences of decanting, discussed above.</w:t>
      </w:r>
    </w:p>
    <w:p w:rsidR="00800BE7" w:rsidRDefault="00800BE7">
      <w:pPr>
        <w:widowControl/>
        <w:ind w:left="2160" w:firstLine="720"/>
        <w:jc w:val="both"/>
      </w:pPr>
      <w:r>
        <w:t>The IRS appears to be considering a formal ruling on the tax consequences of decanting.  In light of the growing popularity of decanting as a means of modifying the terms of an irrevocable trust, this is important news.  Whether it is good news or bad news depends upon the content of that ruling.</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fldChar w:fldCharType="begin"/>
      </w:r>
      <w:r w:rsidR="00800BE7">
        <w:rPr>
          <w:b/>
          <w:bCs/>
        </w:rPr>
        <w:instrText>LISTNUM Outline \l 2</w:instrText>
      </w:r>
      <w:r>
        <w:rPr>
          <w:b/>
          <w:bCs/>
        </w:rPr>
        <w:fldChar w:fldCharType="end"/>
      </w:r>
      <w:r w:rsidR="00800BE7">
        <w:rPr>
          <w:b/>
          <w:bCs/>
        </w:rPr>
        <w:tab/>
        <w:t>Code § 664.  Charitable Remainder Trusts</w:t>
      </w:r>
      <w:r>
        <w:fldChar w:fldCharType="begin"/>
      </w:r>
      <w:r w:rsidR="00800BE7">
        <w:instrText>tc \l2 "</w:instrText>
      </w:r>
      <w:r w:rsidR="00800BE7">
        <w:rPr>
          <w:b/>
          <w:bCs/>
        </w:rPr>
        <w:instrText>Field result goes here</w:instrText>
      </w:r>
      <w:r w:rsidR="00800BE7">
        <w:rPr>
          <w:b/>
          <w:bCs/>
        </w:rPr>
        <w:tab/>
        <w:instrText>Code § 664.  Charitable Remainder Trusts</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IRS Permits Charitable Remainder Trust to Fund Grantor’s Interest with Commercial Annuities.  PLR 201126007 (July 1, 2011)</w:t>
      </w:r>
      <w:r>
        <w:fldChar w:fldCharType="begin"/>
      </w:r>
      <w:r w:rsidR="00800BE7">
        <w:instrText>tc \l3 "</w:instrText>
      </w:r>
      <w:r w:rsidR="00800BE7">
        <w:rPr>
          <w:b/>
          <w:bCs/>
        </w:rPr>
        <w:instrText>Field result goes here</w:instrText>
      </w:r>
      <w:r w:rsidR="00800BE7">
        <w:rPr>
          <w:b/>
          <w:bCs/>
        </w:rPr>
        <w:tab/>
        <w:instrText>IRS Permits Charitable Remainder Trust to Fund Grantor’s Interest with Commercial Annuities.  PLR 201126007 (July 1, 2011)</w:instrText>
      </w:r>
      <w:r>
        <w:fldChar w:fldCharType="end"/>
      </w:r>
    </w:p>
    <w:p w:rsidR="00800BE7" w:rsidRDefault="00800BE7">
      <w:pPr>
        <w:keepNext/>
        <w:keepLines/>
        <w:widowControl/>
        <w:jc w:val="both"/>
      </w:pPr>
    </w:p>
    <w:p w:rsidR="00800BE7" w:rsidRDefault="00800BE7">
      <w:pPr>
        <w:keepLines/>
        <w:widowControl/>
        <w:ind w:left="2160"/>
        <w:jc w:val="both"/>
      </w:pPr>
      <w:r>
        <w:t>Taxpayer proposes forming a charitable remainder annuity trust that will include a statement that the trustee may buy commercial annuity contracts to provide for the annuity payment retained by Taxpayer.  The trust specifically directed:</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880" w:right="720"/>
        <w:jc w:val="both"/>
      </w:pPr>
      <w:r>
        <w:lastRenderedPageBreak/>
        <w:t>The Trustee shall have the discretion to provide for the annuity payment to Trustor by allocating a portion of the trust assets to purchase an annuity contract which will guarantee to pay to the trust a sum equal to or greater than the Trustor's computed annual annuity payout for the duration of the trust.  If the Trustee chooses to provide for the Trustor's annuity payment in this man</w:t>
      </w:r>
      <w:r>
        <w:softHyphen/>
        <w:t>ner, the Trustee may only purchase such contract from an insurer with an A.M. Best Company Insurer Financial Strength Rating of “Superior” (A++, A+) or “Excellent” (A, A).  After securing such contract, the Trustee may distribute any amount other than the amount described in Treas. Reg. Section 1.664</w:t>
      </w:r>
      <w:r>
        <w:noBreakHyphen/>
        <w:t>2(a)(1) to the charities named in Schedule B any time during the term of the trust.  Upon the termination of all noncharitable inter</w:t>
      </w:r>
      <w:r>
        <w:softHyphen/>
        <w:t xml:space="preserve">ests, the Trustee shall distribute all of the principal and </w:t>
      </w:r>
      <w:r>
        <w:lastRenderedPageBreak/>
        <w:t>income of the trust (other than any amount due to the Annuity Recipient or the estate of the Annuity Recipient) to the charitable organizations, in the percentages designated, as provided in Schedule B.</w:t>
      </w:r>
    </w:p>
    <w:p w:rsidR="00800BE7" w:rsidRDefault="00800BE7">
      <w:pPr>
        <w:widowControl/>
        <w:jc w:val="both"/>
      </w:pPr>
    </w:p>
    <w:p w:rsidR="00800BE7" w:rsidRDefault="00800BE7">
      <w:pPr>
        <w:widowControl/>
        <w:ind w:left="2160"/>
        <w:jc w:val="both"/>
      </w:pPr>
      <w:r>
        <w:t>Taxpayer anticipates that the trustee will actually buy the annuity, possess all incidence of ownership, and be entitled to all payments, that the annuity contract will pay the annuity amount annually to the trust, and that the trustee will then pay the annuity amount to the grantor.</w:t>
      </w:r>
    </w:p>
    <w:p w:rsidR="00800BE7" w:rsidRDefault="00800BE7">
      <w:pPr>
        <w:widowControl/>
        <w:ind w:left="2160" w:firstLine="720"/>
        <w:jc w:val="both"/>
      </w:pPr>
      <w:r>
        <w:t>The IRS stated that the trust was a qualified CRAT.  Taxpayer represented that the trust would otherwise contain all of the terms in Rev. Proc. 2003</w:t>
      </w:r>
      <w:r>
        <w:noBreakHyphen/>
        <w:t>53, 2003</w:t>
      </w:r>
      <w:r>
        <w:noBreakHyphen/>
        <w:t>2 C.B. 230.  The IRS reviewed the requirements for a CRAT, and concluded summarily that the provision for investing the trust in a commercial annuity would not prevent the trust from qualifying as a CRAT under Section 664(d)(1).</w:t>
      </w:r>
    </w:p>
    <w:p w:rsidR="00800BE7" w:rsidRDefault="00800BE7">
      <w:pPr>
        <w:widowControl/>
        <w:ind w:left="2160" w:firstLine="720"/>
        <w:jc w:val="both"/>
      </w:pPr>
      <w:r>
        <w:rPr>
          <w:b/>
          <w:bCs/>
        </w:rPr>
        <w:t>Note.</w:t>
      </w:r>
      <w:r>
        <w:t xml:space="preserve">  Commercial annuities are a convenient way to fund a charitable remainder annuity trust.  They are a single asset that may hold internally a professionally managed diversified portfolio, providing a single report for review by the trustee.  Furthermore, the withdrawals can be made precisely equal to the amounts that the trustee requires for payment. </w:t>
      </w:r>
    </w:p>
    <w:p w:rsidR="00800BE7" w:rsidRDefault="00800BE7">
      <w:pPr>
        <w:widowControl/>
        <w:ind w:left="2160" w:firstLine="720"/>
        <w:jc w:val="both"/>
      </w:pPr>
      <w:r>
        <w:t>This ruling is consistent with TAM 9825001 (June 19, 1998), but it represents a change from PLRs 9609009 (March 1, 1996) and 9643014 (Oct. 25, 1996), in which the IRS specifically withheld any opinion whether the trustee's control over the timing and amount of realized income from the sale of trust assets would constitute an act of self</w:t>
      </w:r>
      <w:r>
        <w:noBreakHyphen/>
        <w:t>dealing under Section 4941(d).   This was apparently based on the notion that a trustee's actions that are intended to defer income until the grantor desires to receive the income amount to a transfer to the grantor of an economic asset of the income option charitable remainder unitrust—its investment opportunity to recognize a current gain or income.</w:t>
      </w:r>
    </w:p>
    <w:p w:rsidR="00800BE7" w:rsidRDefault="00800BE7">
      <w:pPr>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w:instrText>
      </w:r>
      <w:r>
        <w:rPr>
          <w:b/>
          <w:bCs/>
        </w:rPr>
        <w:fldChar w:fldCharType="end"/>
      </w:r>
      <w:r w:rsidR="00800BE7">
        <w:rPr>
          <w:b/>
          <w:bCs/>
        </w:rPr>
        <w:tab/>
        <w:t>Rescission of Charitable Remainder Trust is Not Self-Dealing.  PLR 201040021 (Oct. 8, 2010)</w:t>
      </w:r>
      <w:r>
        <w:rPr>
          <w:b/>
          <w:bCs/>
        </w:rPr>
        <w:fldChar w:fldCharType="begin"/>
      </w:r>
      <w:r w:rsidR="00800BE7">
        <w:rPr>
          <w:b/>
          <w:bCs/>
        </w:rPr>
        <w:instrText>tc \l3 "Field result goes here</w:instrText>
      </w:r>
      <w:r w:rsidR="00800BE7">
        <w:rPr>
          <w:b/>
          <w:bCs/>
        </w:rPr>
        <w:tab/>
        <w:instrText>Rescission of Charitable Remainder Trust is Not Self-Dealing.  PLR 201040021 (Oct. 8, 2010)</w:instrText>
      </w:r>
      <w:r>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2160"/>
        <w:jc w:val="both"/>
      </w:pPr>
      <w:r>
        <w:lastRenderedPageBreak/>
        <w:t>The IRS stated that the rescission of a charitable remainder annuity trust and the return of the assets to the grantor, with the consent of the trustee and the remainder beneficiary, would not be an act of self-dealing or a taxable expenditure, because the trust was never a valid charitable remainder trust.  The grantors created a charitable remainder trust, retaining a lifetime seven percent annuity, with the remainder to pass to Charity at the death of the surviving grantor.  A partial payment was made by the trustee in the year in which the trust was created.  A and B had no taxable income against which to use the charitable deduction in the year in which the trust was created, and they carried the deduction forward.  Thereafter, the trustee, for state franchise tax purposes, calculated the value of the remainder interest, and determined that it had a negative value.  Upon realizing that the charity was to receive nothing, and that no portion of the contribution would be deductible, the trustee, the grantors, and the charity executed a rescission agreement that was approved by the state attorney general’s office, treating the trust as void ab initio.  The agreement provides for a return of the trust assets to the grantors, who will file amended income tax returns withdrawing their claim for a charitable deduction.</w:t>
      </w:r>
    </w:p>
    <w:p w:rsidR="00800BE7" w:rsidRDefault="00800BE7">
      <w:pPr>
        <w:widowControl/>
        <w:ind w:left="2160" w:firstLine="720"/>
        <w:jc w:val="both"/>
      </w:pPr>
      <w:r>
        <w:t>The IRS stated that the rescission of the trust was not an act of self-dealing or a taxable expenditure, and that the trust would not be subject to the excise tax on termination of private foundation status. The IRS noted that these three excise taxes were imposed only to portions of a trust for which a charitable deduction was allowed.  No deduction is allowed for the fair market value of a charitable contribution of a remainder interest in a charitable remain</w:t>
      </w:r>
      <w:r>
        <w:softHyphen/>
        <w:t>der trust if the remainder is not worth at least ten percent of the value of the property.  Therefore, the trust was never a qualified charitable remainder trust, and the penalty taxes could not apply to its rescission.</w:t>
      </w:r>
    </w:p>
    <w:p w:rsidR="00800BE7" w:rsidRDefault="00800BE7">
      <w:pPr>
        <w:widowControl/>
        <w:jc w:val="both"/>
      </w:pPr>
    </w:p>
    <w:p w:rsidR="00800BE7" w:rsidRDefault="00800BE7">
      <w:pPr>
        <w:widowControl/>
        <w:jc w:val="both"/>
      </w:pPr>
    </w:p>
    <w:p w:rsidR="00800BE7" w:rsidRDefault="00BC7053">
      <w:pPr>
        <w:keepNext/>
        <w:keepLines/>
        <w:widowControl/>
        <w:ind w:firstLine="720"/>
        <w:jc w:val="both"/>
      </w:pPr>
      <w:r>
        <w:rPr>
          <w:b/>
          <w:bCs/>
        </w:rPr>
        <w:lastRenderedPageBreak/>
        <w:fldChar w:fldCharType="begin"/>
      </w:r>
      <w:r w:rsidR="00800BE7">
        <w:rPr>
          <w:b/>
          <w:bCs/>
        </w:rPr>
        <w:instrText>LISTNUM Outline \l 2</w:instrText>
      </w:r>
      <w:r>
        <w:rPr>
          <w:b/>
          <w:bCs/>
        </w:rPr>
        <w:fldChar w:fldCharType="end"/>
      </w:r>
      <w:r w:rsidR="00800BE7">
        <w:rPr>
          <w:b/>
          <w:bCs/>
        </w:rPr>
        <w:tab/>
        <w:t>Code §§ 671-679.  Grantor Trusts</w:t>
      </w:r>
      <w:r>
        <w:rPr>
          <w:b/>
          <w:bCs/>
        </w:rPr>
        <w:fldChar w:fldCharType="begin"/>
      </w:r>
      <w:r w:rsidR="00800BE7">
        <w:rPr>
          <w:b/>
          <w:bCs/>
        </w:rPr>
        <w:instrText>tc \l2 "Field result goes here</w:instrText>
      </w:r>
      <w:r w:rsidR="00800BE7">
        <w:rPr>
          <w:b/>
          <w:bCs/>
        </w:rPr>
        <w:tab/>
        <w:instrText>Code §§ 671-679.  Grantor Trusts</w:instrText>
      </w:r>
      <w:r>
        <w:rPr>
          <w:b/>
          <w:bCs/>
        </w:rP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Proposed Regs Treat Grantor Trust and Other Disregarded Entities as Synonymous with the Grantor for Some Discharge of Indebtedness Purposes.  Prop. Reg. § 1.108</w:t>
      </w:r>
      <w:r w:rsidR="00800BE7">
        <w:rPr>
          <w:b/>
          <w:bCs/>
        </w:rPr>
        <w:noBreakHyphen/>
        <w:t>9, 76 FR 20593</w:t>
      </w:r>
      <w:r w:rsidR="00800BE7">
        <w:rPr>
          <w:b/>
          <w:bCs/>
        </w:rPr>
        <w:noBreakHyphen/>
        <w:t>01 (April 13, 2011)</w:t>
      </w:r>
    </w:p>
    <w:p w:rsidR="00800BE7" w:rsidRDefault="00800BE7">
      <w:pPr>
        <w:keepNext/>
        <w:keepLines/>
        <w:widowControl/>
        <w:jc w:val="both"/>
      </w:pPr>
    </w:p>
    <w:p w:rsidR="00800BE7" w:rsidRDefault="00800BE7">
      <w:pPr>
        <w:keepLines/>
        <w:widowControl/>
        <w:ind w:left="2160"/>
        <w:jc w:val="both"/>
      </w:pPr>
      <w:r>
        <w:t>Section 108(a)(1)(A) and (B) excludes from gross income any amount that would be includible in gross income by reason of the discharge of indebtedness of the taxpayer, if the discharge occurs in a bankruptcy under Title 11 of the U.S. Code, or to the extent that the taxpayer is insolvent when the discharge occurs.  The proposed regulations will treat references to the “taxpayer” in those subsections as referring to the owner of the grantor trust or disregarded entity.  Therefore, a grantor trust or other disregarded entity (such as a single-member LLC) is treated as bankrupt only if the grantor or owner is insolvent or bankrupt.</w:t>
      </w:r>
    </w:p>
    <w:p w:rsidR="00800BE7" w:rsidRDefault="00800BE7">
      <w:pPr>
        <w:keepLines/>
        <w:widowControl/>
        <w:ind w:left="216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rPr>
          <w:b/>
          <w:bCs/>
        </w:rPr>
        <w:lastRenderedPageBreak/>
        <w:t xml:space="preserve">Note. </w:t>
      </w:r>
      <w:r>
        <w:t xml:space="preserve"> The proposed regulations also provide that, in the case of a partnership, the owner rules apply at the partner level to the partners of the partnership to whom the discharge of indebtedness income is allocable.  Any partner that is a grantor trust or disregarded entity will be looked through for purposes of these discharge of indebtedness rules.  The regulations will apply to any discharge of indebtedness income occurring on or after the date final regulations are published in the Federal Register, and no inference is intended that the proposed regulations are not current law.</w:t>
      </w:r>
    </w:p>
    <w:p w:rsidR="00800BE7" w:rsidRDefault="00800BE7">
      <w:pPr>
        <w:widowControl/>
        <w:jc w:val="both"/>
      </w:pPr>
    </w:p>
    <w:p w:rsidR="00800BE7" w:rsidRDefault="00BC7053">
      <w:pPr>
        <w:keepNext/>
        <w:keepLines/>
        <w:widowControl/>
        <w:tabs>
          <w:tab w:val="left" w:pos="-1440"/>
        </w:tabs>
        <w:ind w:left="2160" w:hanging="720"/>
        <w:jc w:val="both"/>
        <w:rPr>
          <w:b/>
          <w:bCs/>
        </w:rPr>
      </w:pPr>
      <w:r>
        <w:rPr>
          <w:b/>
          <w:bCs/>
        </w:rPr>
        <w:fldChar w:fldCharType="begin"/>
      </w:r>
      <w:r w:rsidR="00800BE7">
        <w:rPr>
          <w:b/>
          <w:bCs/>
        </w:rPr>
        <w:instrText>LISTNUM Outline \l 3</w:instrText>
      </w:r>
      <w:r>
        <w:rPr>
          <w:b/>
          <w:bCs/>
        </w:rPr>
        <w:fldChar w:fldCharType="end"/>
      </w:r>
      <w:r w:rsidR="00800BE7">
        <w:rPr>
          <w:b/>
          <w:bCs/>
        </w:rPr>
        <w:tab/>
        <w:t>IRS Explains Income and Estate Tax Ownership of Trust Based on Beneficiary’s Annual Right to Withdraw Income.  PLR 201038004 (Sept. 24, 2010)</w:t>
      </w:r>
      <w:r>
        <w:rPr>
          <w:b/>
          <w:bCs/>
        </w:rPr>
        <w:fldChar w:fldCharType="begin"/>
      </w:r>
      <w:r w:rsidR="00800BE7">
        <w:rPr>
          <w:b/>
          <w:bCs/>
        </w:rPr>
        <w:instrText>tc \l3 "Field result goes here</w:instrText>
      </w:r>
      <w:r w:rsidR="00800BE7">
        <w:rPr>
          <w:b/>
          <w:bCs/>
        </w:rPr>
        <w:tab/>
        <w:instrText>IRS Explains Income and Estate Tax Ownership of Trust Based on Beneficiary’s Annual Right to Withdraw Income.  PLR 201038004 (Sept. 24, 2010)</w:instrText>
      </w:r>
      <w:r>
        <w:rPr>
          <w:b/>
          <w:bCs/>
        </w:rPr>
        <w:fldChar w:fldCharType="end"/>
      </w:r>
    </w:p>
    <w:p w:rsidR="00800BE7" w:rsidRDefault="00800BE7">
      <w:pPr>
        <w:keepNext/>
        <w:keepLines/>
        <w:widowControl/>
        <w:jc w:val="both"/>
      </w:pPr>
    </w:p>
    <w:p w:rsidR="00800BE7" w:rsidRDefault="00800BE7">
      <w:pPr>
        <w:keepLines/>
        <w:widowControl/>
        <w:ind w:left="2160"/>
        <w:jc w:val="both"/>
      </w:pPr>
      <w:r>
        <w:t>Taxpayer is the trustee and beneficiary of an irrevocable trust created by Taxpayer’s father.  The trust fund is divided into Subtrust A and Subtrust B.  Subtrust B is a qualified subchapter S trust (QSST).  Subtrust A, in part, directs the distribution of the trust income as Taxpayer directs.  Taxpayer’s right to withdraw trust income is noncumulative and lapses at the end of the taxable year.  The trustee also has authority to distribute income and principal to and among Taxpayer and the grantor’s issue, for their health, education, support or maintenance.  Taxpayer has a special testamentary power to appoint the remainder of the trust fund at Taxpayer’s death, to and among the grantor’s issue and any charities.  Income of Subtrust A is added to principal if it is undistributed for 15 months.</w:t>
      </w:r>
    </w:p>
    <w:p w:rsidR="00800BE7" w:rsidRDefault="00800BE7">
      <w:pPr>
        <w:widowControl/>
        <w:ind w:left="2160" w:firstLine="720"/>
        <w:jc w:val="both"/>
      </w:pPr>
      <w:r>
        <w:lastRenderedPageBreak/>
        <w:t>The IRS stated that Taxpayer was the owner of the income of Subtrust A under Sections 671 and 678, because of Taxpayer’s right to withdraw the income and the fact that Taxpayer remained a potential beneficiary with respect to the income that was not with</w:t>
      </w:r>
      <w:r>
        <w:softHyphen/>
        <w:t>drawn.</w:t>
      </w:r>
    </w:p>
    <w:p w:rsidR="00800BE7" w:rsidRDefault="00800BE7">
      <w:pPr>
        <w:widowControl/>
        <w:ind w:left="2160" w:firstLine="720"/>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rPr>
          <w:b/>
          <w:bCs/>
        </w:rPr>
        <w:lastRenderedPageBreak/>
        <w:t>Note.</w:t>
      </w:r>
      <w:r>
        <w:t xml:space="preserve">  The IRS did not distinguish among various types of income of Subtrust A, with respect to ownership under Sections 671 and 678.  The trust stated that all income was subject to withdrawal, but this might not include capital gains, under applicable state law.  Were this true, Taxpayer should not be deemed to own the capital gains or losses of the trust.  Also, the IRS, as usual, did not explain how the lapse of a withdrawal right constitutes a modification or partial release, as required by Section 678(a)(2).  The IRS never explains this, but always treats the lapse of the withdrawal right as a modifica</w:t>
      </w:r>
      <w:r>
        <w:softHyphen/>
        <w:t>tion or partial release.  See PLRs 201039010 (Oct. 1, 2010); 200747002 (Nov. 23, 2007); 200147044 (Nov. 23, 2001); 200104005 (Jan. 26, 2001); 200022035 (June 2, 2000); 200011058 (March 17, 2000), 200011054 - 200011056 (March 17, 2000); 199942037 (Oct. 27, 1999); 199935046-199935047 (Sept. 3, 1999); 9812006 (March 20, 1998); 9810006 -9810008 (March 6, 1998); 9810004 (March 6, 1998); 9809005 - 9809008 (Feb. 27, 1998); 9745010 (Nov. 7, 1997); 9739026 (Sept. 26, 1997); 9625031 (June 21, 1996); 9535047 (Sept. 1, 1995); 9504024 (Jan. 27, 1995); 9450014 (Dec. 16, 1994); 9448018 (Dec. 2, 1994); 9320018 (May 21, 1993); 9311021 (March 19, 1993); 9226037 (June 26, 1992); 9140047 (Oct. 4, 1991); 9034004 (Aug. 24, 1990); 9009010 (March 2, 1990); 8936031 (Sept. 8, 1989); 8827023 (July 8, 1988); 8805032 (Nov. 16, 1987); 8701007 (Sept. 30, 1987); 8613054 (Dec. 31, 1985); 8521060 (Feb. 26, 1985); 8342088 (July 20, 1983).  See also Blatt</w:t>
      </w:r>
      <w:r>
        <w:softHyphen/>
        <w:t>machr, Gans &amp; Lo, “A Beneficiary as Trust Owner: Decoding Section 678,” 35 ACTEC J. 106, 114-117 (Fall, 2009).</w:t>
      </w:r>
    </w:p>
    <w:p w:rsidR="00800BE7" w:rsidRDefault="00800BE7">
      <w:pPr>
        <w:widowControl/>
        <w:ind w:left="2160" w:firstLine="720"/>
        <w:jc w:val="both"/>
      </w:pPr>
      <w:r>
        <w:t xml:space="preserve">Also, the IRS also stated that part of the trust fund would be included in Taxpayer’s gross estate under Section 2041.  The IRS noted that Taxpayer can withdraw the trust income, which constitutes a general power of appointment over that income.  If Taxpayer dies possessed of this general power of appointment, Taxpayer’s gross estate includes the income of Subtrust A for the year to which the withdrawal power relates.  </w:t>
      </w:r>
      <w:r>
        <w:rPr>
          <w:i/>
          <w:iCs/>
        </w:rPr>
        <w:t>Estate of Dietz v. Comm’r</w:t>
      </w:r>
      <w:r>
        <w:t>, T.C. Memo. 1996</w:t>
      </w:r>
      <w:r>
        <w:noBreakHyphen/>
        <w:t>471.  Furthermore, Section 2041(a)(2) includes in the gross estate the value of all property with respect to which the decedent at any time released (or allowed to lapse) a general power of appoint</w:t>
      </w:r>
      <w:r>
        <w:softHyphen/>
        <w:t xml:space="preserve">ment by a disposition that, were it a transfer of property owned by the decedent, would be includible in the gross estate under Sections 2035 to 2038, to the extent that the value of the property that could have been appointed exceeds the greater of $5,000 or five percent of the </w:t>
      </w:r>
      <w:r>
        <w:lastRenderedPageBreak/>
        <w:t>assets subject to the power.  A transfer of property owned by Taxpayer to Subtrust A would be includible in Taxpayer’s gross estate under Sections 2036 and 2038.  Therefore, Taxpayer’s gross estate will include the lapse of any annual income withdrawal right during the its term to the extent of the excess of the income not withdrawn over the greater of $5,000 or five percent of the income.  Treas. Reg. § 20.2041</w:t>
      </w:r>
      <w:r>
        <w:softHyphen/>
        <w:t xml:space="preserve">3(d)(3); </w:t>
      </w:r>
      <w:r>
        <w:rPr>
          <w:i/>
          <w:iCs/>
        </w:rPr>
        <w:t>Estate of Noland v. Comm’r</w:t>
      </w:r>
      <w:r>
        <w:t>, T.C. Memo. 1984</w:t>
      </w:r>
      <w:r>
        <w:noBreakHyphen/>
        <w:t>209.</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1440" w:hanging="720"/>
        <w:jc w:val="both"/>
      </w:pPr>
      <w:r>
        <w:rPr>
          <w:b/>
          <w:bCs/>
        </w:rPr>
        <w:fldChar w:fldCharType="begin"/>
      </w:r>
      <w:r w:rsidR="00800BE7">
        <w:rPr>
          <w:b/>
          <w:bCs/>
        </w:rPr>
        <w:instrText>LISTNUM Outline \l 2</w:instrText>
      </w:r>
      <w:r>
        <w:rPr>
          <w:b/>
          <w:bCs/>
        </w:rPr>
        <w:fldChar w:fldCharType="end"/>
      </w:r>
      <w:r w:rsidR="00800BE7">
        <w:rPr>
          <w:b/>
          <w:bCs/>
        </w:rPr>
        <w:tab/>
        <w:t>Code § 877A.  Recognition of Gain by Expatriates</w:t>
      </w:r>
      <w:r>
        <w:rPr>
          <w:b/>
          <w:bCs/>
        </w:rPr>
        <w:fldChar w:fldCharType="begin"/>
      </w:r>
      <w:r w:rsidR="00800BE7">
        <w:rPr>
          <w:b/>
          <w:bCs/>
        </w:rPr>
        <w:instrText>tc \l2 "Field result goes here</w:instrText>
      </w:r>
      <w:r w:rsidR="00800BE7">
        <w:rPr>
          <w:b/>
          <w:bCs/>
        </w:rPr>
        <w:tab/>
        <w:instrText>Code § 877A.  Recognition of Gain by Expatriates</w:instrText>
      </w:r>
      <w:r>
        <w:rPr>
          <w:b/>
          <w:bCs/>
        </w:rPr>
        <w:fldChar w:fldCharType="end"/>
      </w:r>
    </w:p>
    <w:p w:rsidR="00800BE7" w:rsidRDefault="00800BE7">
      <w:pPr>
        <w:keepNext/>
        <w:keepLines/>
        <w:widowControl/>
        <w:jc w:val="both"/>
      </w:pPr>
    </w:p>
    <w:p w:rsidR="00800BE7" w:rsidRDefault="00800BE7">
      <w:pPr>
        <w:keepNext/>
        <w:keepLines/>
        <w:widowControl/>
        <w:ind w:left="1440"/>
        <w:jc w:val="both"/>
      </w:pPr>
      <w:r>
        <w:rPr>
          <w:b/>
          <w:bCs/>
        </w:rPr>
        <w:t>Two Key Figures Are Adjusted for Inflation.  Rev. Proc. 2010-40 §§ 3.17, 3.18, 2010-46 I.R.B. 663 (Nov. 15, 2010)</w:t>
      </w:r>
      <w:r w:rsidR="00BC7053">
        <w:fldChar w:fldCharType="begin"/>
      </w:r>
      <w:r>
        <w:instrText>tc \l3 "</w:instrText>
      </w:r>
      <w:r>
        <w:rPr>
          <w:b/>
          <w:bCs/>
        </w:rPr>
        <w:instrText>Two Key Figures Are Adjusted for Inflation.  Rev. Proc. 2010-40 §§ 3.17, 3.18, 2010-46 I.R.B. 663 (Nov. 15, 2010)</w:instrText>
      </w:r>
      <w:r w:rsidR="00BC7053">
        <w:fldChar w:fldCharType="end"/>
      </w:r>
    </w:p>
    <w:p w:rsidR="00800BE7" w:rsidRDefault="00800BE7">
      <w:pPr>
        <w:keepNext/>
        <w:keepLines/>
        <w:widowControl/>
        <w:jc w:val="both"/>
      </w:pPr>
    </w:p>
    <w:p w:rsidR="00800BE7" w:rsidRDefault="00800BE7">
      <w:pPr>
        <w:keepLines/>
        <w:widowControl/>
        <w:ind w:left="1440"/>
        <w:jc w:val="both"/>
      </w:pPr>
      <w:r>
        <w:t>The $600,000 exemption from appreciation in assets recognized by a covered expatriate is increased to $636,000 for expatriations that occur in 2011.  Also, the standards for determining whether an expatriate is a covered expatriate based on whether his or her average annual net income tax exceeded $140,000 for the five taxable years ending before the date of expatriation, is increased to $147,000 for taxable years beginning in 2011.</w:t>
      </w:r>
    </w:p>
    <w:p w:rsidR="00800BE7" w:rsidRDefault="00800BE7">
      <w:pPr>
        <w:widowControl/>
        <w:jc w:val="both"/>
      </w:pP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BC7053">
      <w:pPr>
        <w:keepNext/>
        <w:keepLines/>
        <w:widowControl/>
        <w:tabs>
          <w:tab w:val="left" w:pos="-1440"/>
        </w:tabs>
        <w:ind w:left="1440" w:hanging="720"/>
        <w:jc w:val="both"/>
      </w:pPr>
      <w:r>
        <w:rPr>
          <w:b/>
          <w:bCs/>
        </w:rPr>
        <w:lastRenderedPageBreak/>
        <w:fldChar w:fldCharType="begin"/>
      </w:r>
      <w:r w:rsidR="00800BE7">
        <w:rPr>
          <w:b/>
          <w:bCs/>
        </w:rPr>
        <w:instrText>LISTNUM Outline \l 2</w:instrText>
      </w:r>
      <w:r>
        <w:rPr>
          <w:b/>
          <w:bCs/>
        </w:rPr>
        <w:fldChar w:fldCharType="end"/>
      </w:r>
      <w:r w:rsidR="00800BE7">
        <w:rPr>
          <w:b/>
          <w:bCs/>
        </w:rPr>
        <w:tab/>
        <w:t>Code §§ 1014, 1015, 1022.  Basis of Property Received by Gift or Received From a Decedent</w:t>
      </w:r>
      <w:r>
        <w:fldChar w:fldCharType="begin"/>
      </w:r>
      <w:r w:rsidR="00800BE7">
        <w:instrText>tc \l2 "</w:instrText>
      </w:r>
      <w:r w:rsidR="00800BE7">
        <w:rPr>
          <w:b/>
          <w:bCs/>
        </w:rPr>
        <w:instrText>Field result goes here</w:instrText>
      </w:r>
      <w:r w:rsidR="00800BE7">
        <w:rPr>
          <w:b/>
          <w:bCs/>
        </w:rPr>
        <w:tab/>
        <w:instrText>Code §§ 1014, 1015, 1022.  Basis of Property Received by Gift or Received From a Decedent</w:instrText>
      </w:r>
      <w:r>
        <w:fldChar w:fldCharType="end"/>
      </w:r>
    </w:p>
    <w:p w:rsidR="00800BE7" w:rsidRDefault="00800BE7">
      <w:pPr>
        <w:keepNext/>
        <w:keepLines/>
        <w:widowControl/>
        <w:jc w:val="both"/>
      </w:pPr>
    </w:p>
    <w:p w:rsidR="00800BE7" w:rsidRDefault="00BC7053">
      <w:pPr>
        <w:keepNext/>
        <w:keepLines/>
        <w:widowControl/>
        <w:tabs>
          <w:tab w:val="left" w:pos="-1440"/>
        </w:tabs>
        <w:ind w:left="2160" w:hanging="720"/>
        <w:jc w:val="both"/>
      </w:pPr>
      <w:r>
        <w:rPr>
          <w:b/>
          <w:bCs/>
        </w:rPr>
        <w:fldChar w:fldCharType="begin"/>
      </w:r>
      <w:r w:rsidR="00800BE7">
        <w:rPr>
          <w:b/>
          <w:bCs/>
        </w:rPr>
        <w:instrText>LISTNUM Outline \l 3 \s 1</w:instrText>
      </w:r>
      <w:r>
        <w:rPr>
          <w:b/>
          <w:bCs/>
        </w:rPr>
        <w:fldChar w:fldCharType="end"/>
      </w:r>
      <w:r w:rsidR="00800BE7">
        <w:rPr>
          <w:b/>
          <w:bCs/>
        </w:rPr>
        <w:tab/>
        <w:t>Treasury Would Require that Basis Be Based on Transfer Tax Values.  Dept. of Treasury, “General Explanations of the Adminis</w:t>
      </w:r>
      <w:r w:rsidR="00800BE7">
        <w:rPr>
          <w:b/>
          <w:bCs/>
        </w:rPr>
        <w:softHyphen/>
        <w:t>tration’s Fiscal Year 2012 Revenue Proposals” pp. 125-126 (Feb. 14, 2011)</w:t>
      </w:r>
      <w:r>
        <w:fldChar w:fldCharType="begin"/>
      </w:r>
      <w:r w:rsidR="00800BE7">
        <w:instrText>tc \l3 "</w:instrText>
      </w:r>
      <w:r w:rsidR="00800BE7">
        <w:rPr>
          <w:b/>
          <w:bCs/>
        </w:rPr>
        <w:instrText>Field result goes here</w:instrText>
      </w:r>
      <w:r w:rsidR="00800BE7">
        <w:rPr>
          <w:b/>
          <w:bCs/>
        </w:rPr>
        <w:tab/>
        <w:instrText>Treasury Would Require that Basis Be Based on Transfer Tax Values.  Dept. of Treasury, “General Explanations of the Adminis</w:instrText>
      </w:r>
      <w:r w:rsidR="00800BE7">
        <w:rPr>
          <w:b/>
          <w:bCs/>
        </w:rPr>
        <w:softHyphen/>
        <w:instrText>tration’s Fiscal Year 2012 Revenue Proposals” pp. 125-126 (Feb. 14, 2011)</w:instrText>
      </w:r>
      <w:r>
        <w:fldChar w:fldCharType="end"/>
      </w:r>
    </w:p>
    <w:p w:rsidR="00800BE7" w:rsidRDefault="00800BE7">
      <w:pPr>
        <w:keepNext/>
        <w:keepLines/>
        <w:widowControl/>
        <w:jc w:val="both"/>
      </w:pPr>
    </w:p>
    <w:p w:rsidR="00800BE7" w:rsidRDefault="00800BE7">
      <w:pPr>
        <w:keepLines/>
        <w:widowControl/>
        <w:ind w:left="2160"/>
        <w:jc w:val="both"/>
      </w:pPr>
      <w:r>
        <w:t>The Administration's 2012 budget proposes that taxpayers who receive property by gift or from a decedent must use the relevant gift or estate tax value as their basis, even if they disagree with the valuation reported for gift or estate tax purposes.</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Property Received from a Decedent. </w:t>
      </w:r>
      <w:r>
        <w:t xml:space="preserve"> A taxpayer who receives property from a decedent under conditions in which the basis is determined under Section 1014, would be required to use as his or her basis the value as reported for estate tax purposes (subject to later adjustments).</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Property Received by Gift. </w:t>
      </w:r>
      <w:r>
        <w:t xml:space="preserve"> A taxpayer who receives property by gift would be required to use as his or her basis the donor’s </w:t>
      </w:r>
      <w:r>
        <w:lastRenderedPageBreak/>
        <w:t>basis determined under Section 1015, and as reported for gift tax purposes (subject to later adjustments).</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Reporting. </w:t>
      </w:r>
      <w:r>
        <w:t xml:space="preserve"> A reporting requirement would be imposed on the executor of the decedent’s estate and on the donor of a lifetime gift to provide the necessary information to both the recipient and the IRS.</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 xml:space="preserve">Regulatory Authority. </w:t>
      </w:r>
      <w:r>
        <w:t xml:space="preserve"> A grant of regulatory authority would permit the Treasury to provide details about the implementation and administration of these requirements, including rules for: (a) situations in which no estate tax return is required to be filed; (b) situations in which gifts are excluded from gift tax under Section 2503; (c) situa</w:t>
      </w:r>
      <w:r>
        <w:softHyphen/>
        <w:t>tions in which the surviving joint tenant or other recipient may have better information than the executor; and (d) the timing of the required reporting in the event of adjustments to the reported value subsequent to the filing of an estate or gift tax return.</w:t>
      </w:r>
    </w:p>
    <w:p w:rsidR="00800BE7" w:rsidRDefault="00800BE7">
      <w:pPr>
        <w:widowControl/>
        <w:jc w:val="both"/>
      </w:pPr>
    </w:p>
    <w:p w:rsidR="00800BE7" w:rsidRDefault="00800BE7">
      <w:pPr>
        <w:widowControl/>
        <w:tabs>
          <w:tab w:val="left" w:pos="-1440"/>
        </w:tabs>
        <w:ind w:left="2880" w:hanging="720"/>
        <w:jc w:val="both"/>
      </w:pPr>
      <w:r>
        <w:rPr>
          <w:b/>
          <w:bCs/>
        </w:rPr>
        <w:t>·</w:t>
      </w:r>
      <w:r>
        <w:rPr>
          <w:b/>
          <w:bCs/>
        </w:rPr>
        <w:tab/>
        <w:t>Effective Date.</w:t>
      </w:r>
      <w:r>
        <w:t xml:space="preserve">  This proposal, if enacted, would be effective as of the date of enactment.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left="2160" w:firstLine="720"/>
        <w:jc w:val="both"/>
      </w:pPr>
      <w:r>
        <w:rPr>
          <w:b/>
          <w:bCs/>
        </w:rPr>
        <w:lastRenderedPageBreak/>
        <w:t>Note.</w:t>
      </w:r>
      <w:r>
        <w:t xml:space="preserve">  See also analysis of the Treasury's similar 2009 proposal in Staff of the Joint Committee on Taxation, 111th Cong., 1st Sess., "Description of Revenue Provisions Contained in the Presi</w:t>
      </w:r>
      <w:r>
        <w:softHyphen/>
        <w:t>dent’s Fiscal Year 2010 Budget Proposal. Part One: Individual Income Tax and Estate and Gift Tax Provisions," at 133-136 (Committee Print) (Sept. 2009).  According to the Joint Committee, beneficiaries would be required to use as basis the value reported on the estate tax return, or a lower figure if the value were ultimately reduced, even if the estate tax value of the asset were increased on examination.  The Joint Committee states that this provides an incentive to value assets "more realistically" on the estate tax returns.  This appears to be different from the Treasury's actual proposal, which provided that the beneficiaries must use the estate tax value as finally adjusted.  Also, the consistency rule will not protect beneficiaries from incurring a liability for overstatement of basis if the IRS determines on examina</w:t>
      </w:r>
      <w:r>
        <w:softHyphen/>
        <w:t>tion (presumably of the beneficiary's income tax return) that the estate assets were overvalued for estate tax purposes.</w:t>
      </w:r>
    </w:p>
    <w:p w:rsidR="00800BE7" w:rsidRDefault="00800BE7">
      <w:pPr>
        <w:widowControl/>
        <w:jc w:val="both"/>
      </w:pPr>
    </w:p>
    <w:p w:rsidR="00800BE7" w:rsidRDefault="00BC7053">
      <w:pPr>
        <w:keepNext/>
        <w:keepLines/>
        <w:widowControl/>
        <w:tabs>
          <w:tab w:val="left" w:pos="-1440"/>
        </w:tabs>
        <w:ind w:left="2160" w:hanging="720"/>
        <w:jc w:val="both"/>
      </w:pPr>
      <w:r>
        <w:rPr>
          <w:b/>
          <w:bCs/>
        </w:rPr>
        <w:lastRenderedPageBreak/>
        <w:fldChar w:fldCharType="begin"/>
      </w:r>
      <w:r w:rsidR="00800BE7">
        <w:rPr>
          <w:b/>
          <w:bCs/>
        </w:rPr>
        <w:instrText>LISTNUM Outline \l 3</w:instrText>
      </w:r>
      <w:r>
        <w:rPr>
          <w:b/>
          <w:bCs/>
        </w:rPr>
        <w:fldChar w:fldCharType="end"/>
      </w:r>
      <w:r w:rsidR="00800BE7">
        <w:rPr>
          <w:b/>
          <w:bCs/>
        </w:rPr>
        <w:tab/>
        <w:t>Form 8939 (Carryover Basis and Election Out of Estate Tax) Not Required on April 18, 2011 – More Later.  Inf. Rel. 2011-33 (March 31, 2011)</w:t>
      </w:r>
      <w:r>
        <w:fldChar w:fldCharType="begin"/>
      </w:r>
      <w:r w:rsidR="00800BE7">
        <w:instrText>tc \l3 "</w:instrText>
      </w:r>
      <w:r w:rsidR="00800BE7">
        <w:rPr>
          <w:b/>
          <w:bCs/>
        </w:rPr>
        <w:instrText>Field result goes here</w:instrText>
      </w:r>
      <w:r w:rsidR="00800BE7">
        <w:rPr>
          <w:b/>
          <w:bCs/>
        </w:rPr>
        <w:tab/>
        <w:instrText>Form 8939 (Carryover Basis and Election Out of Estate Tax) Not Required on April 18, 2011 – More Later.  Inf. Rel. 2011-33 (March 31, 2011)</w:instrText>
      </w:r>
      <w:r>
        <w:fldChar w:fldCharType="end"/>
      </w:r>
    </w:p>
    <w:p w:rsidR="00800BE7" w:rsidRDefault="00800BE7">
      <w:pPr>
        <w:keepNext/>
        <w:keepLines/>
        <w:widowControl/>
        <w:jc w:val="both"/>
      </w:pPr>
    </w:p>
    <w:p w:rsidR="00800BE7" w:rsidRDefault="00800BE7">
      <w:pPr>
        <w:keepLines/>
        <w:widowControl/>
        <w:ind w:left="2160"/>
        <w:jc w:val="both"/>
      </w:pPr>
      <w:r>
        <w:t>The IRS has announced that, because it has not released the final Form 8939 (Allocation of Increase in Basis for Property Acquired From a Decedent), on which an executor can elect not to have the estate tax apply to an estate of a 2010 decedent, the due date for that return will not be April 18, 2011 (the date on which a 2010 decedent’s final income tax return would be due), but some later date.  The IRS had previously stated that it would allow at least 90 days after release of the form in which to file.</w:t>
      </w:r>
    </w:p>
    <w:p w:rsidR="00800BE7" w:rsidRDefault="00800BE7">
      <w:pPr>
        <w:widowControl/>
        <w:jc w:val="both"/>
      </w:pPr>
    </w:p>
    <w:p w:rsidR="00800BE7" w:rsidRDefault="00800BE7">
      <w:pPr>
        <w:widowControl/>
        <w:jc w:val="both"/>
      </w:pPr>
    </w:p>
    <w:p w:rsidR="00800BE7" w:rsidRDefault="00BC7053">
      <w:pPr>
        <w:keepNext/>
        <w:keepLines/>
        <w:widowControl/>
        <w:tabs>
          <w:tab w:val="left" w:pos="-1440"/>
        </w:tabs>
        <w:ind w:left="1440" w:hanging="720"/>
        <w:jc w:val="both"/>
      </w:pPr>
      <w:r>
        <w:rPr>
          <w:b/>
          <w:bCs/>
        </w:rPr>
        <w:fldChar w:fldCharType="begin"/>
      </w:r>
      <w:r w:rsidR="00800BE7">
        <w:rPr>
          <w:b/>
          <w:bCs/>
        </w:rPr>
        <w:instrText>LISTNUM Outline \l 2</w:instrText>
      </w:r>
      <w:r>
        <w:rPr>
          <w:b/>
          <w:bCs/>
        </w:rPr>
        <w:fldChar w:fldCharType="end"/>
      </w:r>
      <w:r w:rsidR="00800BE7">
        <w:rPr>
          <w:b/>
          <w:bCs/>
        </w:rPr>
        <w:tab/>
        <w:t>Code § 1035.  Exchange of Life Insurance Contracts</w:t>
      </w:r>
      <w:r>
        <w:fldChar w:fldCharType="begin"/>
      </w:r>
      <w:r w:rsidR="00800BE7">
        <w:instrText>tc \l2 "</w:instrText>
      </w:r>
      <w:r w:rsidR="00800BE7">
        <w:rPr>
          <w:b/>
          <w:bCs/>
        </w:rPr>
        <w:instrText>Field result goes here</w:instrText>
      </w:r>
      <w:r w:rsidR="00800BE7">
        <w:rPr>
          <w:b/>
          <w:bCs/>
        </w:rPr>
        <w:tab/>
        <w:instrText>Code § 1035.  Exchange of Life Insurance Contracts</w:instrText>
      </w:r>
      <w:r>
        <w:fldChar w:fldCharType="end"/>
      </w:r>
    </w:p>
    <w:p w:rsidR="00800BE7" w:rsidRDefault="00800BE7">
      <w:pPr>
        <w:keepNext/>
        <w:keepLines/>
        <w:widowControl/>
        <w:jc w:val="both"/>
      </w:pPr>
    </w:p>
    <w:p w:rsidR="00800BE7" w:rsidRDefault="00800BE7">
      <w:pPr>
        <w:keepNext/>
        <w:keepLines/>
        <w:widowControl/>
        <w:ind w:left="1440"/>
        <w:jc w:val="both"/>
        <w:rPr>
          <w:b/>
          <w:bCs/>
        </w:rPr>
      </w:pPr>
      <w:r>
        <w:rPr>
          <w:b/>
          <w:bCs/>
        </w:rPr>
        <w:t>IRS Provides New Guidance on Partial Tax-free Exchanges of Annuity Contracts.  Rev. Proc. 2011</w:t>
      </w:r>
      <w:r>
        <w:rPr>
          <w:b/>
          <w:bCs/>
        </w:rPr>
        <w:noBreakHyphen/>
        <w:t>38, 2011</w:t>
      </w:r>
      <w:r>
        <w:rPr>
          <w:b/>
          <w:bCs/>
        </w:rPr>
        <w:noBreakHyphen/>
        <w:t>30 I.R.B. 66 (July 25, 2011)</w:t>
      </w:r>
      <w:r w:rsidR="00BC7053">
        <w:rPr>
          <w:b/>
          <w:bCs/>
        </w:rPr>
        <w:fldChar w:fldCharType="begin"/>
      </w:r>
      <w:r>
        <w:rPr>
          <w:b/>
          <w:bCs/>
        </w:rPr>
        <w:instrText>tc \l3 "IRS Provides New Guidance on Partial Tax-free Exchanges of Annuity Contracts.  Rev. Proc. 2011</w:instrText>
      </w:r>
      <w:r>
        <w:rPr>
          <w:b/>
          <w:bCs/>
        </w:rPr>
        <w:noBreakHyphen/>
        <w:instrText>38, 2011</w:instrText>
      </w:r>
      <w:r>
        <w:rPr>
          <w:b/>
          <w:bCs/>
        </w:rPr>
        <w:noBreakHyphen/>
        <w:instrText>30 I.R.B. 66 (July 25, 2011)</w:instrText>
      </w:r>
      <w:r w:rsidR="00BC7053">
        <w:rPr>
          <w:b/>
          <w:bCs/>
        </w:rPr>
        <w:fldChar w:fldCharType="end"/>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left="1440"/>
        <w:jc w:val="both"/>
      </w:pPr>
      <w:r>
        <w:lastRenderedPageBreak/>
        <w:t>The IRS provided new and clearer guidance regarding the tax treatment of partially tax-free exchanges of annuity contracts under Sections 72(e) and 1035, continuing and expanding upon an eight-year chain of guidance.  The new procedure establishes a general rule that any partial exchange of annuity contracts that falls within the guidelines set out in the procedure will be treated as a tax</w:t>
      </w:r>
      <w:r>
        <w:noBreakHyphen/>
        <w:t>free exchange under Section 1035, as long as no amount is received under either the original or the new contract (except amounts received as an annuity for one or more lives or for a period of 10 years or more), during the 180 days beginning on the date of the transfer (or, in the case of a new contract, the date the contract is placed in</w:t>
      </w:r>
      <w:r>
        <w:noBreakHyphen/>
        <w:t>force).  A later direct transfer of all or a portion of either contract involved in such an exchange will not be taken into account for purposes of applying these rules, if that subsequent transfer qualifies (or is intended to qualify) as a tax</w:t>
      </w:r>
      <w:r>
        <w:noBreakHyphen/>
        <w:t>free exchange under Section 1035.  A partial exchange of annuity contracts that does not meet these requirements will be characterized in a manner consistent with its substance, based on general tax principles and all the facts and circumstances.  Therefore, it will either be taxable as boot from a Section 1035 exchange, or as a taxable withdrawal from an annuity contract under Section 72(a). This procedure is effective for covered transfers completed on or after October 24, 2011.  Rev. Proc. 2008</w:t>
      </w:r>
      <w:r>
        <w:noBreakHyphen/>
        <w:t>24, 2008</w:t>
      </w:r>
      <w:r>
        <w:noBreakHyphen/>
        <w:t>13 I.R.B. 684 (March 31, 2008), which this procedure supersedes, will continue to apply to transfers that are completed before that date, with the clarification that the requirement that one of the prescribed conditions of Section 72(q)(2) must have "occurred between" the date of the transfer and the date of the withdrawal or surrender will be deemed satisfied if the condition was satisfied as of the date of the withdrawal or surrender.  Thus, for example, an individual who attained the age of 59 ½ before both the date of the transfer and the date of the withdrawal or surrender has satisfied the condition of Section 72(q)(2)(A) and will be treated as satisfying the requirements of Revenue Procedure 2008-24.</w:t>
      </w: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keepNext/>
        <w:keepLines/>
        <w:widowControl/>
        <w:tabs>
          <w:tab w:val="center" w:pos="4682"/>
        </w:tabs>
        <w:jc w:val="both"/>
      </w:pPr>
      <w:r>
        <w:lastRenderedPageBreak/>
        <w:tab/>
      </w:r>
      <w:r>
        <w:rPr>
          <w:b/>
          <w:bCs/>
        </w:rPr>
        <w:t>SELECTED ATTACHMENTS</w:t>
      </w:r>
      <w:r w:rsidR="00BC7053">
        <w:rPr>
          <w:b/>
          <w:bCs/>
        </w:rPr>
        <w:fldChar w:fldCharType="begin"/>
      </w:r>
      <w:r>
        <w:rPr>
          <w:b/>
          <w:bCs/>
        </w:rPr>
        <w:instrText>tc \l1 "SELECTED ATTACHMENTS</w:instrText>
      </w:r>
      <w:r w:rsidR="00BC7053">
        <w:rPr>
          <w:b/>
          <w:bCs/>
        </w:rPr>
        <w:fldChar w:fldCharType="end"/>
      </w:r>
    </w:p>
    <w:p w:rsidR="00800BE7" w:rsidRDefault="00800BE7">
      <w:pPr>
        <w:keepNext/>
        <w:keepLines/>
        <w:widowControl/>
        <w:jc w:val="both"/>
      </w:pPr>
    </w:p>
    <w:p w:rsidR="00800BE7" w:rsidRDefault="00800BE7">
      <w:pPr>
        <w:keepNext/>
        <w:keepLines/>
        <w:widowControl/>
        <w:tabs>
          <w:tab w:val="center" w:pos="4682"/>
        </w:tabs>
        <w:jc w:val="both"/>
        <w:rPr>
          <w:b/>
          <w:bCs/>
        </w:rPr>
      </w:pPr>
      <w:r>
        <w:tab/>
      </w:r>
      <w:r>
        <w:rPr>
          <w:b/>
          <w:bCs/>
        </w:rPr>
        <w:t>PLEASE NOTE</w:t>
      </w:r>
    </w:p>
    <w:p w:rsidR="00800BE7" w:rsidRDefault="00800BE7">
      <w:pPr>
        <w:keepNext/>
        <w:keepLines/>
        <w:widowControl/>
        <w:jc w:val="both"/>
        <w:rPr>
          <w:b/>
          <w:bCs/>
        </w:rPr>
      </w:pPr>
    </w:p>
    <w:p w:rsidR="00800BE7" w:rsidRDefault="00800BE7">
      <w:pPr>
        <w:keepNext/>
        <w:keepLines/>
        <w:widowControl/>
        <w:ind w:firstLine="720"/>
        <w:jc w:val="both"/>
        <w:rPr>
          <w:b/>
          <w:bCs/>
        </w:rPr>
      </w:pPr>
      <w:r>
        <w:rPr>
          <w:b/>
          <w:bCs/>
        </w:rPr>
        <w:t>THESE ATTACHMENTS INCLUDE SEVERAL FORMS INSPIRED BY SPECIFIC CASES OR RULINGS.  THESE FORMS ARE THESE ARE NOT THE ACTUAL DOCUMENTS ON WHICH THE IRS OR COURT OPINED.  THEY ARE MY INTERPRETA</w:t>
      </w:r>
      <w:r>
        <w:rPr>
          <w:b/>
          <w:bCs/>
        </w:rPr>
        <w:softHyphen/>
        <w:t>TION BASED ON THE RULINGS OR CASES CITED, OR OF TECHNIQUES THAT MAY ADDRESS PROBLEMS RAISED BY THESE CASES OR RULINGS.</w:t>
      </w:r>
    </w:p>
    <w:p w:rsidR="00800BE7" w:rsidRDefault="00800BE7">
      <w:pPr>
        <w:keepLines/>
        <w:widowControl/>
        <w:jc w:val="both"/>
        <w:rPr>
          <w:b/>
          <w:bCs/>
        </w:rPr>
      </w:pPr>
    </w:p>
    <w:p w:rsidR="00800BE7" w:rsidRDefault="00800BE7">
      <w:pPr>
        <w:widowControl/>
        <w:ind w:firstLine="720"/>
        <w:jc w:val="both"/>
        <w:rPr>
          <w:b/>
          <w:bCs/>
        </w:rPr>
      </w:pPr>
      <w:r>
        <w:rPr>
          <w:b/>
          <w:bCs/>
        </w:rPr>
        <w:t>THESE FORMS HAVE NOT BEEN SUBMITTED TO OR APPROVED BY THE IRS OR ANY OTHER AGENCY OR COURT, AND THEY MAY CONTAIN PROVISIONS WITH WHICH VARIOUS IRS AGENTS AND ATTORNEYS MAY NOT AGREE.</w:t>
      </w:r>
    </w:p>
    <w:p w:rsidR="00800BE7" w:rsidRDefault="00800BE7">
      <w:pPr>
        <w:widowControl/>
        <w:jc w:val="both"/>
        <w:rPr>
          <w:b/>
          <w:bCs/>
        </w:rPr>
      </w:pPr>
    </w:p>
    <w:p w:rsidR="00800BE7" w:rsidRDefault="00800BE7">
      <w:pPr>
        <w:widowControl/>
        <w:ind w:firstLine="720"/>
        <w:jc w:val="both"/>
      </w:pPr>
      <w:r>
        <w:rPr>
          <w:b/>
          <w:bCs/>
        </w:rPr>
        <w:t xml:space="preserve">USE YOUR INDEPENDENT JUDGMENT </w:t>
      </w:r>
      <w:r>
        <w:rPr>
          <w:b/>
          <w:bCs/>
        </w:rPr>
        <w:noBreakHyphen/>
      </w:r>
      <w:r>
        <w:rPr>
          <w:b/>
          <w:bCs/>
        </w:rPr>
        <w:noBreakHyphen/>
        <w:t xml:space="preserve"> NEITHER THE AUTHOR NOR THE CONFERENCE SPONSOR CAN TAKE ANY RESPONSIBILITY WHATSOEVER FOR THE INDIVIDUAL USE OF THESE SAMPLE DOCUMENTS.</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rPr>
          <w:b/>
          <w:bCs/>
        </w:rPr>
        <w:tab/>
      </w:r>
      <w:r>
        <w:t>* * * * * * * * * *</w:t>
      </w:r>
    </w:p>
    <w:p w:rsidR="00800BE7" w:rsidRDefault="00800BE7">
      <w:pPr>
        <w:widowControl/>
        <w:jc w:val="both"/>
      </w:pPr>
    </w:p>
    <w:p w:rsidR="00800BE7" w:rsidRDefault="00800BE7">
      <w:pPr>
        <w:widowControl/>
        <w:jc w:val="both"/>
      </w:pPr>
      <w:r>
        <w:rPr>
          <w:b/>
          <w:bCs/>
        </w:rPr>
        <w:t xml:space="preserve">1. </w:t>
      </w:r>
      <w:r>
        <w:rPr>
          <w:b/>
          <w:bCs/>
        </w:rPr>
        <w:tab/>
        <w:t>Family Limited Partner</w:t>
      </w:r>
      <w:r>
        <w:rPr>
          <w:b/>
          <w:bCs/>
        </w:rPr>
        <w:softHyphen/>
        <w:t>ship/Limited Liability Company Checklist</w:t>
      </w:r>
      <w:r w:rsidR="00BC7053">
        <w:rPr>
          <w:b/>
          <w:bCs/>
        </w:rPr>
        <w:fldChar w:fldCharType="begin"/>
      </w:r>
      <w:r>
        <w:rPr>
          <w:b/>
          <w:bCs/>
        </w:rPr>
        <w:instrText xml:space="preserve">tc \l1 "1. </w:instrText>
      </w:r>
      <w:r>
        <w:rPr>
          <w:b/>
          <w:bCs/>
        </w:rPr>
        <w:tab/>
        <w:instrText>Family Limited Partner</w:instrText>
      </w:r>
      <w:r>
        <w:rPr>
          <w:b/>
          <w:bCs/>
        </w:rPr>
        <w:softHyphen/>
        <w:instrText>ship/Limited Liability Company Checklist</w:instrText>
      </w:r>
      <w:r w:rsidR="00BC7053">
        <w:rPr>
          <w:b/>
          <w:bCs/>
        </w:rPr>
        <w:fldChar w:fldCharType="end"/>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sz w:val="30"/>
          <w:szCs w:val="30"/>
        </w:rPr>
        <w:t>PLANNING AND DRAFTING</w:t>
      </w:r>
    </w:p>
    <w:p w:rsidR="00800BE7" w:rsidRDefault="00800BE7">
      <w:pPr>
        <w:widowControl/>
        <w:jc w:val="both"/>
      </w:pP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Create Partnership in a Good State.</w:t>
      </w:r>
      <w:r>
        <w:t xml:space="preserve">  Assure that the state whose law governs the partnership provides, as default rules:</w:t>
      </w:r>
    </w:p>
    <w:p w:rsidR="00800BE7" w:rsidRDefault="00800BE7">
      <w:pPr>
        <w:widowControl/>
        <w:jc w:val="both"/>
      </w:pPr>
    </w:p>
    <w:p w:rsidR="00800BE7" w:rsidRDefault="00800BE7">
      <w:pPr>
        <w:widowControl/>
        <w:tabs>
          <w:tab w:val="left" w:pos="-1440"/>
        </w:tabs>
        <w:ind w:left="1440" w:hanging="720"/>
        <w:jc w:val="both"/>
      </w:pPr>
      <w:r>
        <w:t>·</w:t>
      </w:r>
      <w:r>
        <w:tab/>
        <w:t>No requirement that the partnership certificate state the time at which the limited partnership is to be dissolved;</w:t>
      </w:r>
    </w:p>
    <w:p w:rsidR="00800BE7" w:rsidRDefault="00800BE7">
      <w:pPr>
        <w:widowControl/>
        <w:jc w:val="both"/>
      </w:pPr>
    </w:p>
    <w:p w:rsidR="00800BE7" w:rsidRDefault="00800BE7">
      <w:pPr>
        <w:widowControl/>
        <w:tabs>
          <w:tab w:val="left" w:pos="-1440"/>
        </w:tabs>
        <w:ind w:left="1440" w:hanging="720"/>
        <w:jc w:val="both"/>
      </w:pPr>
      <w:r>
        <w:t>·</w:t>
      </w:r>
      <w:r>
        <w:tab/>
        <w:t>Partnership does not terminate upon the withdrawal or death of a general partner (usually if there is another general partner or if a majority of the limited partners elect to continue the business);</w:t>
      </w:r>
    </w:p>
    <w:p w:rsidR="00800BE7" w:rsidRDefault="00800BE7">
      <w:pPr>
        <w:widowControl/>
        <w:jc w:val="both"/>
      </w:pPr>
    </w:p>
    <w:p w:rsidR="00800BE7" w:rsidRDefault="00800BE7">
      <w:pPr>
        <w:widowControl/>
        <w:tabs>
          <w:tab w:val="left" w:pos="-1440"/>
        </w:tabs>
        <w:ind w:left="1440" w:hanging="720"/>
        <w:jc w:val="both"/>
      </w:pPr>
      <w:r>
        <w:t>·</w:t>
      </w:r>
      <w:r>
        <w:tab/>
        <w:t>Majority of the limited partners cannot remove the general partner and indirectly effect the dissolution of the partnership;</w:t>
      </w:r>
    </w:p>
    <w:p w:rsidR="00800BE7" w:rsidRDefault="00800BE7">
      <w:pPr>
        <w:widowControl/>
        <w:jc w:val="both"/>
      </w:pPr>
    </w:p>
    <w:p w:rsidR="00800BE7" w:rsidRDefault="00800BE7">
      <w:pPr>
        <w:widowControl/>
        <w:tabs>
          <w:tab w:val="left" w:pos="-1440"/>
        </w:tabs>
        <w:ind w:left="1440" w:hanging="720"/>
        <w:jc w:val="both"/>
      </w:pPr>
      <w:r>
        <w:t>·</w:t>
      </w:r>
      <w:r>
        <w:tab/>
        <w:t>Transferee of a partnership interest becomes only an assignee, rather than a partner, without the vote of the remaining partners; and</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tabs>
          <w:tab w:val="left" w:pos="-1440"/>
        </w:tabs>
        <w:ind w:left="1440" w:hanging="720"/>
        <w:jc w:val="both"/>
      </w:pPr>
      <w:r>
        <w:lastRenderedPageBreak/>
        <w:t>·</w:t>
      </w:r>
      <w:r>
        <w:tab/>
        <w:t>A withdrawing partner is not entitled to his or her capital account.  Often, the withdrawing partner is entitled to "fair value," but this should be based his or her right to share in reasonably anticipated future distributions from the continuing entity.  Alternatively, state law may not permit a partner to withdraw without the consent of the other partners.  The Tax Court and Fifth Circuit have held that a right to withdraw is not a right to liquidate under Section 2704(b), but it is just as well that the partners have no specific right to withdraw.</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Have and Document Nontax Purposes.</w:t>
      </w:r>
      <w:r>
        <w:t xml:space="preserve">  Carefully document in the agreement or collateral instruments or letters the various nontax purposes for which the partnership is created.  Among the nontax purposes that the courts may accept are:</w:t>
      </w:r>
    </w:p>
    <w:p w:rsidR="00800BE7" w:rsidRDefault="00800BE7">
      <w:pPr>
        <w:widowControl/>
        <w:jc w:val="both"/>
      </w:pPr>
    </w:p>
    <w:p w:rsidR="00800BE7" w:rsidRDefault="00800BE7">
      <w:pPr>
        <w:widowControl/>
        <w:tabs>
          <w:tab w:val="left" w:pos="-1440"/>
        </w:tabs>
        <w:ind w:left="1440" w:hanging="720"/>
        <w:jc w:val="both"/>
      </w:pPr>
      <w:r>
        <w:t>·</w:t>
      </w:r>
      <w:r>
        <w:tab/>
        <w:t>Avoiding likely creditors, such as spouses of children, if there is a realistic basis for worrying about creditor claims, such as prior divorces by some of the children;</w:t>
      </w:r>
    </w:p>
    <w:p w:rsidR="00800BE7" w:rsidRDefault="00800BE7">
      <w:pPr>
        <w:widowControl/>
        <w:jc w:val="both"/>
      </w:pPr>
    </w:p>
    <w:p w:rsidR="00800BE7" w:rsidRDefault="00800BE7">
      <w:pPr>
        <w:widowControl/>
        <w:tabs>
          <w:tab w:val="left" w:pos="-1440"/>
        </w:tabs>
        <w:ind w:left="1440" w:hanging="720"/>
        <w:jc w:val="both"/>
      </w:pPr>
      <w:r>
        <w:t>·</w:t>
      </w:r>
      <w:r>
        <w:tab/>
        <w:t>Assuring the continued management of assets according to a specific and definite investment philosophy, whether or not it is one that the donor espouses.  This may also be combined with teaching this philosophy to the various family members;</w:t>
      </w:r>
    </w:p>
    <w:p w:rsidR="00800BE7" w:rsidRDefault="00800BE7">
      <w:pPr>
        <w:widowControl/>
        <w:jc w:val="both"/>
      </w:pPr>
    </w:p>
    <w:p w:rsidR="00800BE7" w:rsidRDefault="00800BE7">
      <w:pPr>
        <w:widowControl/>
        <w:tabs>
          <w:tab w:val="left" w:pos="-1440"/>
        </w:tabs>
        <w:ind w:left="1440" w:hanging="720"/>
        <w:jc w:val="both"/>
      </w:pPr>
      <w:r>
        <w:t>·</w:t>
      </w:r>
      <w:r>
        <w:tab/>
        <w:t>Forcing the children to work together to manage key family assets, but the children must then actually work together to manage these assets;</w:t>
      </w:r>
    </w:p>
    <w:p w:rsidR="00800BE7" w:rsidRDefault="00800BE7">
      <w:pPr>
        <w:widowControl/>
        <w:jc w:val="both"/>
      </w:pPr>
    </w:p>
    <w:p w:rsidR="00800BE7" w:rsidRDefault="00800BE7">
      <w:pPr>
        <w:widowControl/>
        <w:tabs>
          <w:tab w:val="left" w:pos="-1440"/>
        </w:tabs>
        <w:ind w:left="1440" w:hanging="720"/>
        <w:jc w:val="both"/>
      </w:pPr>
      <w:r>
        <w:t>·</w:t>
      </w:r>
      <w:r>
        <w:tab/>
        <w:t>Dividing key assets among children through the use of separate partnerships, to reduce family discord; and</w:t>
      </w:r>
    </w:p>
    <w:p w:rsidR="00800BE7" w:rsidRDefault="00800BE7">
      <w:pPr>
        <w:widowControl/>
        <w:jc w:val="both"/>
      </w:pPr>
    </w:p>
    <w:p w:rsidR="00800BE7" w:rsidRDefault="00800BE7">
      <w:pPr>
        <w:widowControl/>
        <w:tabs>
          <w:tab w:val="left" w:pos="-1440"/>
        </w:tabs>
        <w:ind w:left="1440" w:hanging="720"/>
        <w:jc w:val="both"/>
      </w:pPr>
      <w:r>
        <w:t>·</w:t>
      </w:r>
      <w:r>
        <w:tab/>
        <w:t>Consolidating assets of various family members (or dividing interests in gifts from donor among various family members) to facilitate purchase of investments with minimum entry costs, such as hedge funds that require that the investors have at least $10 million in net worth, though it is important to show that there were actual purchases of such investments or that they were under serious consideration.</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Consider Annual Exclusion.</w:t>
      </w:r>
      <w:r>
        <w:t xml:space="preserve">  Avoid undue restrictions on transfer, or give a donee partner the right to withdraw up to the annual exclusion from the partnership at the time of the gift, to assure that such gifts qualify for the gift tax annual exclusion.</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Create Partnership ASAP.</w:t>
      </w:r>
      <w:r>
        <w:t xml:space="preserve">  The partnership should be created and funded while the donor is in good health and as young as practicable.  Once the donor is terminally ill, the chances of the partnership being respected for tax purposes drops precipitously.</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lastRenderedPageBreak/>
        <w:sym w:font="Wingdings" w:char="F06D"/>
      </w:r>
      <w:r>
        <w:tab/>
      </w:r>
      <w:r>
        <w:rPr>
          <w:b/>
          <w:bCs/>
        </w:rPr>
        <w:t xml:space="preserve">Fund Partnership with Active Management Assets. </w:t>
      </w:r>
      <w:r>
        <w:t xml:space="preserve"> Fund the partnership with assets that require active management, though favorable cases do exist regarding partnerships that hold solely passive assets.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Do Not Fund Partnership with Personal Use Assets.</w:t>
      </w:r>
      <w:r>
        <w:t xml:space="preserve">  Do not transfer personal use assets to the partnership, even if the donor then leases them from the partnership.  This includes, among other things, the donor’s residences.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Donor Should Not Control Partnership Distributions.</w:t>
      </w:r>
      <w:r>
        <w:t xml:space="preserve">  The donor should not be the general partner, if possible.  Family members or trusts to whom the client wishes to pass the bulk of the partnership assets should themselves be general partners and participate in the operations of the enterprises.  There are several ways to limit or avoid control by the donor of the partnership distributions.</w:t>
      </w:r>
    </w:p>
    <w:p w:rsidR="00800BE7" w:rsidRDefault="00800BE7">
      <w:pPr>
        <w:widowControl/>
        <w:jc w:val="both"/>
      </w:pPr>
    </w:p>
    <w:p w:rsidR="00800BE7" w:rsidRDefault="00800BE7">
      <w:pPr>
        <w:widowControl/>
        <w:tabs>
          <w:tab w:val="left" w:pos="-1440"/>
        </w:tabs>
        <w:ind w:left="1440" w:hanging="720"/>
        <w:jc w:val="both"/>
      </w:pPr>
      <w:r>
        <w:t>·</w:t>
      </w:r>
      <w:r>
        <w:tab/>
        <w:t>A corporate or LLC general partner could be named in which the donor has only a minority interest;</w:t>
      </w:r>
    </w:p>
    <w:p w:rsidR="00800BE7" w:rsidRDefault="00800BE7">
      <w:pPr>
        <w:widowControl/>
        <w:jc w:val="both"/>
      </w:pPr>
    </w:p>
    <w:p w:rsidR="00800BE7" w:rsidRDefault="00800BE7">
      <w:pPr>
        <w:widowControl/>
        <w:tabs>
          <w:tab w:val="left" w:pos="-1440"/>
        </w:tabs>
        <w:ind w:left="1440" w:hanging="720"/>
        <w:jc w:val="both"/>
      </w:pPr>
      <w:r>
        <w:t>·</w:t>
      </w:r>
      <w:r>
        <w:tab/>
        <w:t>You can have two classes of general partnership interests, one of which has control over distributions, and the other which manages the partnership assets.  The donor can then transfer the former, retaining the latter; and</w:t>
      </w:r>
    </w:p>
    <w:p w:rsidR="00800BE7" w:rsidRDefault="00800BE7">
      <w:pPr>
        <w:widowControl/>
        <w:jc w:val="both"/>
      </w:pPr>
    </w:p>
    <w:p w:rsidR="00800BE7" w:rsidRDefault="00800BE7">
      <w:pPr>
        <w:widowControl/>
        <w:tabs>
          <w:tab w:val="left" w:pos="-1440"/>
        </w:tabs>
        <w:ind w:left="1440" w:hanging="720"/>
        <w:jc w:val="both"/>
      </w:pPr>
      <w:r>
        <w:t>·</w:t>
      </w:r>
      <w:r>
        <w:tab/>
        <w:t>The partnership can prohibit all distributions during the donor’s lifetime.</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 xml:space="preserve">Each Partner Should Have Separate Representation. </w:t>
      </w:r>
      <w:r>
        <w:t xml:space="preserve"> All prospective partners should be represented by legal and financial counsel and should have input into the terms of the governing instruments.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 xml:space="preserve">Avoid Participation Via Powers of Attorney.  </w:t>
      </w:r>
      <w:r>
        <w:t>Consider a provision that precludes voting for a general partner through a power of attorney.</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Assure that Significant Interests Are Held by Others.</w:t>
      </w:r>
      <w:r>
        <w:t xml:space="preserve">  Give or sell significant limited partnership interests to others, particularly including trusts with independent trustees.  The retention of 99% of the partnership interests will encourage a court to ignore the transaction.</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Assure that Limited Partners Pay for Their Interests</w:t>
      </w:r>
      <w:r>
        <w:t>.  Limited partners should pay for their partnership interests with their own assets.  If they do not have assets, the donors should make gifts and let the gifts gather some age, before creating the partnership.</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Reserve Adequate As</w:t>
      </w:r>
      <w:r>
        <w:rPr>
          <w:b/>
          <w:bCs/>
        </w:rPr>
        <w:softHyphen/>
        <w:t>sets.</w:t>
      </w:r>
      <w:r>
        <w:t xml:space="preserve">  Never put too much of the donor’s wealth in the partnerships; the donors should retain enough assets on which to live comfortably and pay any expected estate taxes or claims.  The donor should retain sufficient </w:t>
      </w:r>
      <w:r>
        <w:lastRenderedPageBreak/>
        <w:t>liquid assets, as well as sufficient wealth.  It is not a bad idea if the other family member partners only contribute excess assets, too.</w:t>
      </w:r>
    </w:p>
    <w:p w:rsidR="00800BE7" w:rsidRDefault="00800BE7">
      <w:pPr>
        <w:widowControl/>
        <w:tabs>
          <w:tab w:val="left" w:pos="-1440"/>
        </w:tabs>
        <w:ind w:left="720" w:hanging="720"/>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lastRenderedPageBreak/>
        <w:sym w:font="Wingdings" w:char="F06D"/>
      </w:r>
      <w:r>
        <w:tab/>
      </w:r>
      <w:r>
        <w:rPr>
          <w:b/>
          <w:bCs/>
        </w:rPr>
        <w:t>Have A Charitable Partner.</w:t>
      </w:r>
      <w:r>
        <w:t xml:space="preserve">  Consider giving at least a one percent interest to a charity or other unrelated person, to make it impossible for the family to remove any restrictions on liquidation in the agreement.</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Use Independent Trustees.</w:t>
      </w:r>
      <w:r>
        <w:t xml:space="preserve">  Each trust that holds a partnership interest should have an independent trustee.</w:t>
      </w:r>
    </w:p>
    <w:p w:rsidR="00800BE7" w:rsidRDefault="00800BE7">
      <w:pPr>
        <w:widowControl/>
        <w:jc w:val="both"/>
      </w:pPr>
    </w:p>
    <w:p w:rsidR="00800BE7" w:rsidRDefault="00800BE7">
      <w:pPr>
        <w:widowControl/>
        <w:tabs>
          <w:tab w:val="left" w:pos="-1440"/>
        </w:tabs>
        <w:ind w:left="720" w:hanging="720"/>
        <w:jc w:val="both"/>
        <w:rPr>
          <w:b/>
          <w:bCs/>
        </w:rPr>
      </w:pPr>
      <w:r>
        <w:sym w:font="Wingdings" w:char="F06D"/>
      </w:r>
      <w:r>
        <w:tab/>
      </w:r>
      <w:r>
        <w:rPr>
          <w:b/>
          <w:bCs/>
        </w:rPr>
        <w:t>Use Good Timing to Avoid Step Transaction and Indirect Gift Doctrines.</w:t>
      </w:r>
    </w:p>
    <w:p w:rsidR="00800BE7" w:rsidRDefault="00800BE7">
      <w:pPr>
        <w:widowControl/>
        <w:jc w:val="both"/>
        <w:rPr>
          <w:b/>
          <w:bCs/>
        </w:rPr>
      </w:pPr>
    </w:p>
    <w:p w:rsidR="00800BE7" w:rsidRDefault="00800BE7">
      <w:pPr>
        <w:widowControl/>
        <w:tabs>
          <w:tab w:val="left" w:pos="-1440"/>
        </w:tabs>
        <w:ind w:left="1440" w:hanging="720"/>
        <w:jc w:val="both"/>
      </w:pPr>
      <w:r>
        <w:t>·</w:t>
      </w:r>
      <w:r>
        <w:tab/>
      </w:r>
      <w:r>
        <w:rPr>
          <w:b/>
          <w:bCs/>
        </w:rPr>
        <w:t xml:space="preserve">Do Not Plan Specific Gifts at Start of Transaction. </w:t>
      </w:r>
      <w:r>
        <w:t xml:space="preserve"> The attorney and client should not make definite plans to make gifts until they have formed the partnership and obtained an independent professional appraisal of the value of the limited partnership interests.  Only then will they have enough financial data to make intelligent gift plans.</w:t>
      </w:r>
    </w:p>
    <w:p w:rsidR="00800BE7" w:rsidRDefault="00800BE7">
      <w:pPr>
        <w:widowControl/>
        <w:jc w:val="both"/>
      </w:pPr>
    </w:p>
    <w:p w:rsidR="00800BE7" w:rsidRDefault="00800BE7">
      <w:pPr>
        <w:widowControl/>
        <w:tabs>
          <w:tab w:val="left" w:pos="-1440"/>
        </w:tabs>
        <w:ind w:left="1440" w:hanging="720"/>
        <w:jc w:val="both"/>
      </w:pPr>
      <w:r>
        <w:t>·</w:t>
      </w:r>
      <w:r>
        <w:tab/>
      </w:r>
      <w:r>
        <w:rPr>
          <w:b/>
          <w:bCs/>
        </w:rPr>
        <w:t>Form the Entity in a No-Gift Situation.</w:t>
      </w:r>
      <w:r>
        <w:t xml:space="preserve">  The client should first form the partnership in a non-gift environment, such as having the client and his or her U.S. spouse as the only initial owners, or having the client and a controlled corporation as the only initial owners.  Similarly, you can form the entity by having each prospective partner contribute a proportionate share of the nominal initial consideration.  Thus, any constructive gifts would not produce a gift tax.</w:t>
      </w:r>
    </w:p>
    <w:p w:rsidR="00800BE7" w:rsidRDefault="00800BE7">
      <w:pPr>
        <w:widowControl/>
        <w:ind w:firstLine="720"/>
        <w:jc w:val="both"/>
      </w:pPr>
    </w:p>
    <w:p w:rsidR="00800BE7" w:rsidRDefault="00800BE7">
      <w:pPr>
        <w:widowControl/>
        <w:tabs>
          <w:tab w:val="left" w:pos="-1440"/>
        </w:tabs>
        <w:ind w:left="1440" w:hanging="720"/>
        <w:jc w:val="both"/>
      </w:pPr>
      <w:r>
        <w:t>·</w:t>
      </w:r>
      <w:r>
        <w:tab/>
      </w:r>
      <w:r>
        <w:rPr>
          <w:b/>
          <w:bCs/>
        </w:rPr>
        <w:t>Do All Paperwork to Form Entity.</w:t>
      </w:r>
      <w:r>
        <w:t xml:space="preserve">  Make sure that the client signs the partnership agreement and that the partnership certificate is promptly filed.  The client (and spouse, if relevant) should then transfer to the entity whatever assets they want the entity to hold.</w:t>
      </w:r>
    </w:p>
    <w:p w:rsidR="00800BE7" w:rsidRDefault="00800BE7">
      <w:pPr>
        <w:widowControl/>
        <w:jc w:val="both"/>
      </w:pPr>
    </w:p>
    <w:p w:rsidR="00800BE7" w:rsidRDefault="00800BE7">
      <w:pPr>
        <w:widowControl/>
        <w:tabs>
          <w:tab w:val="left" w:pos="-1440"/>
        </w:tabs>
        <w:ind w:left="1440" w:hanging="720"/>
        <w:jc w:val="both"/>
      </w:pPr>
      <w:r>
        <w:t>·</w:t>
      </w:r>
      <w:r>
        <w:tab/>
      </w:r>
      <w:r>
        <w:rPr>
          <w:b/>
          <w:bCs/>
        </w:rPr>
        <w:t>Reflect the Transfers in the Donor’s Capital Account.</w:t>
      </w:r>
      <w:r>
        <w:t xml:space="preserve">  The contributions to the partnership must be reflected in the donor’s capital account.  This will mean that the donor has a substantial increase in his or her (or their) proportionate partnership interest.  Assure that capital accounts determine distributions on liquidation or termination.</w:t>
      </w:r>
    </w:p>
    <w:p w:rsidR="00800BE7" w:rsidRDefault="00800BE7">
      <w:pPr>
        <w:widowControl/>
        <w:jc w:val="both"/>
      </w:pPr>
    </w:p>
    <w:p w:rsidR="00800BE7" w:rsidRDefault="00800BE7">
      <w:pPr>
        <w:widowControl/>
        <w:tabs>
          <w:tab w:val="left" w:pos="-1440"/>
        </w:tabs>
        <w:ind w:left="1440" w:hanging="720"/>
        <w:jc w:val="both"/>
      </w:pPr>
      <w:r>
        <w:t>·</w:t>
      </w:r>
      <w:r>
        <w:tab/>
      </w:r>
      <w:r>
        <w:rPr>
          <w:b/>
          <w:bCs/>
        </w:rPr>
        <w:t>Get Appraisal.</w:t>
      </w:r>
      <w:r>
        <w:t xml:space="preserve">  Next, obtain the best professional apprai</w:t>
      </w:r>
      <w:r>
        <w:softHyphen/>
        <w:t>sal the client can afford.  The appraiser makes an independent judgment, and the amount of gifts (or the existence of gifts at all) depends upon the judgment of the appraiser.  This usually puts at least several weeks between the formation and funding of the entity and any gifts.  Two or three months is even better.</w:t>
      </w:r>
    </w:p>
    <w:p w:rsidR="00800BE7" w:rsidRDefault="00800BE7">
      <w:pPr>
        <w:widowControl/>
        <w:jc w:val="both"/>
      </w:pPr>
    </w:p>
    <w:p w:rsidR="00800BE7" w:rsidRDefault="00800BE7">
      <w:pPr>
        <w:widowControl/>
        <w:tabs>
          <w:tab w:val="left" w:pos="-1440"/>
        </w:tabs>
        <w:ind w:left="1440" w:hanging="720"/>
        <w:jc w:val="both"/>
      </w:pPr>
      <w:r>
        <w:t>·</w:t>
      </w:r>
      <w:r>
        <w:tab/>
      </w:r>
      <w:r>
        <w:rPr>
          <w:b/>
          <w:bCs/>
        </w:rPr>
        <w:t>Then Make Transfers.</w:t>
      </w:r>
      <w:r>
        <w:t xml:space="preserve">  Once you have an appraisal, and a reasonable time has passed, meet with the client and decide whether gifts will be made, to </w:t>
      </w:r>
      <w:r>
        <w:lastRenderedPageBreak/>
        <w:t>whom they will be made and the amount of the gifts.  Execute a document of transfer and make all necessary amendments to the partnership or operating agreement, including any required waivers of buy-sell restrictions.</w:t>
      </w:r>
    </w:p>
    <w:p w:rsidR="00800BE7" w:rsidRDefault="00800BE7">
      <w:pPr>
        <w:widowControl/>
        <w:tabs>
          <w:tab w:val="left" w:pos="-1440"/>
        </w:tabs>
        <w:ind w:left="1440" w:hanging="720"/>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1440" w:hanging="720"/>
        <w:jc w:val="both"/>
      </w:pPr>
      <w:r>
        <w:lastRenderedPageBreak/>
        <w:t>·</w:t>
      </w:r>
      <w:r>
        <w:tab/>
      </w:r>
      <w:r>
        <w:rPr>
          <w:b/>
          <w:bCs/>
        </w:rPr>
        <w:t>Adjust Capital Accounts.</w:t>
      </w:r>
      <w:r>
        <w:t xml:space="preserve">  Reduce the capital accounts of the donor and transfer the capital to the donees.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File a Timely Gift Tax Return.</w:t>
      </w:r>
      <w:r>
        <w:t xml:space="preserve">  File the gift tax return and, where appropriate, allocate GST exemption.</w:t>
      </w:r>
    </w:p>
    <w:p w:rsidR="00800BE7" w:rsidRDefault="00800BE7">
      <w:pPr>
        <w:widowControl/>
        <w:jc w:val="both"/>
      </w:pPr>
    </w:p>
    <w:p w:rsidR="00800BE7" w:rsidRDefault="00800BE7">
      <w:pPr>
        <w:widowControl/>
        <w:jc w:val="both"/>
      </w:pPr>
    </w:p>
    <w:p w:rsidR="00800BE7" w:rsidRDefault="00800BE7">
      <w:pPr>
        <w:keepNext/>
        <w:keepLines/>
        <w:widowControl/>
        <w:tabs>
          <w:tab w:val="center" w:pos="4682"/>
        </w:tabs>
        <w:jc w:val="both"/>
      </w:pPr>
      <w:r>
        <w:tab/>
      </w:r>
      <w:r>
        <w:rPr>
          <w:b/>
          <w:bCs/>
          <w:sz w:val="30"/>
          <w:szCs w:val="30"/>
        </w:rPr>
        <w:t>ADMINISTRATION</w:t>
      </w:r>
    </w:p>
    <w:p w:rsidR="00800BE7" w:rsidRDefault="00800BE7">
      <w:pPr>
        <w:keepNext/>
        <w:keepLines/>
        <w:widowControl/>
        <w:jc w:val="both"/>
      </w:pPr>
    </w:p>
    <w:p w:rsidR="00800BE7" w:rsidRDefault="00800BE7">
      <w:pPr>
        <w:keepNext/>
        <w:keepLines/>
        <w:widowControl/>
        <w:jc w:val="both"/>
      </w:pPr>
    </w:p>
    <w:p w:rsidR="00800BE7" w:rsidRDefault="00800BE7">
      <w:pPr>
        <w:keepLines/>
        <w:widowControl/>
        <w:tabs>
          <w:tab w:val="left" w:pos="-1440"/>
        </w:tabs>
        <w:ind w:left="720" w:hanging="720"/>
        <w:jc w:val="both"/>
      </w:pPr>
      <w:r>
        <w:sym w:font="Wingdings" w:char="F06D"/>
      </w:r>
      <w:r>
        <w:tab/>
      </w:r>
      <w:r>
        <w:rPr>
          <w:b/>
          <w:bCs/>
        </w:rPr>
        <w:t>Have Partnership (or GP) Stationery.</w:t>
      </w:r>
      <w:r>
        <w:t xml:space="preserve">  The partnership should have stationery that identifies precisely who the general partners are, to assure that the general partner never acts in a different capacity.</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Have Partnership Bank and Security Accounts.</w:t>
      </w:r>
      <w:r>
        <w:t xml:space="preserve">  The partnership must have its own bank and securities accounts, accessible only by the general partners.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 xml:space="preserve">Hold Regular Partners’ Meetings. </w:t>
      </w:r>
      <w:r>
        <w:t xml:space="preserve"> The general partners should meet at least quarterly to discuss partnership activities.  If possible, the attorney or paralegal should be present.</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 xml:space="preserve">Keep Good Records. </w:t>
      </w:r>
      <w:r>
        <w:t xml:space="preserve"> The general partners should keep books of account and detailed records of their decisions and activities.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Inform Limited Partners.</w:t>
      </w:r>
      <w:r>
        <w:t xml:space="preserve">  The general partners should send copies of the minutes of the partnership meetings to the limited partners.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Avoid Commingling.</w:t>
      </w:r>
      <w:r>
        <w:t xml:space="preserve">  Never, never commingle partnership and personal assets.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Avoid Paying Personal Expenses.</w:t>
      </w:r>
      <w:r>
        <w:t xml:space="preserve">  Never, never pay personal expenses from the partnership assets, even if capital account adjustments are made.</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Avoid Paying Estate Expenses.</w:t>
      </w:r>
      <w:r>
        <w:t xml:space="preserve">  Generally, the partnership should not pay estate expenses for the principal partner.</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Avoid Non-</w:t>
      </w:r>
      <w:r>
        <w:rPr>
          <w:b/>
          <w:bCs/>
          <w:i/>
          <w:iCs/>
        </w:rPr>
        <w:t>Pro Rata</w:t>
      </w:r>
      <w:r>
        <w:rPr>
          <w:b/>
          <w:bCs/>
        </w:rPr>
        <w:t xml:space="preserve"> Distributions.</w:t>
      </w:r>
      <w:r>
        <w:t xml:space="preserve">  Generally, the partnership should avoid making non-</w:t>
      </w:r>
      <w:r>
        <w:rPr>
          <w:i/>
          <w:iCs/>
        </w:rPr>
        <w:t xml:space="preserve">pro rata </w:t>
      </w:r>
      <w:r>
        <w:t>distributions.</w:t>
      </w:r>
    </w:p>
    <w:p w:rsidR="00800BE7" w:rsidRDefault="00800BE7">
      <w:pPr>
        <w:widowControl/>
        <w:jc w:val="both"/>
      </w:pPr>
    </w:p>
    <w:p w:rsidR="00800BE7" w:rsidRDefault="00800BE7">
      <w:pPr>
        <w:widowControl/>
        <w:tabs>
          <w:tab w:val="left" w:pos="-1440"/>
        </w:tabs>
        <w:ind w:left="720" w:hanging="720"/>
        <w:jc w:val="both"/>
      </w:pPr>
      <w:r>
        <w:sym w:font="Wingdings" w:char="F06D"/>
      </w:r>
      <w:r>
        <w:tab/>
      </w:r>
      <w:r>
        <w:rPr>
          <w:b/>
          <w:bCs/>
        </w:rPr>
        <w:t>Avoid Loans to the Donor or Donor’s Estate.</w:t>
      </w:r>
      <w:r>
        <w:t xml:space="preserve">  Generally, the partnership should not make loans to the principal partner or his or her estate.</w:t>
      </w:r>
    </w:p>
    <w:p w:rsidR="00800BE7" w:rsidRDefault="00800BE7">
      <w:pPr>
        <w:widowControl/>
        <w:jc w:val="both"/>
      </w:pPr>
    </w:p>
    <w:p w:rsidR="00800BE7" w:rsidRDefault="00800BE7">
      <w:pPr>
        <w:widowControl/>
        <w:tabs>
          <w:tab w:val="left" w:pos="-1440"/>
        </w:tabs>
        <w:ind w:left="720" w:hanging="720"/>
        <w:jc w:val="both"/>
      </w:pPr>
      <w:r>
        <w:lastRenderedPageBreak/>
        <w:sym w:font="Wingdings" w:char="F06D"/>
      </w:r>
      <w:r>
        <w:tab/>
      </w:r>
      <w:r>
        <w:rPr>
          <w:b/>
          <w:bCs/>
        </w:rPr>
        <w:t>Do Not Unwind Partnership (Even Partially) After Donor’s Death.</w:t>
      </w:r>
      <w:r>
        <w:t xml:space="preserve">  The partnership should not be unwound or make large distributions after the death of the donor partner.</w:t>
      </w:r>
    </w:p>
    <w:p w:rsidR="00800BE7" w:rsidRDefault="00800BE7">
      <w:pPr>
        <w:widowControl/>
        <w:tabs>
          <w:tab w:val="left" w:pos="-1440"/>
        </w:tabs>
        <w:ind w:left="720" w:hanging="720"/>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 xml:space="preserve">2. </w:t>
      </w:r>
      <w:r>
        <w:rPr>
          <w:b/>
          <w:bCs/>
        </w:rPr>
        <w:tab/>
        <w:t xml:space="preserve">Family Limited Partnership Agreement Giving Donee Limited Partners Full Right to Sell their Interests (Subject to a Right of First Refusal) -- Includes Deed of Gift Granting Donee a 30-Day Put Right, Which Should Cause Gifts of Limited Partnership Interests to Qualify for the Gift Tax Annual Exclusion Under </w:t>
      </w:r>
      <w:r>
        <w:rPr>
          <w:b/>
          <w:bCs/>
          <w:i/>
          <w:iCs/>
        </w:rPr>
        <w:t>Fisher v. United States</w:t>
      </w:r>
      <w:r>
        <w:rPr>
          <w:b/>
          <w:bCs/>
        </w:rPr>
        <w:t xml:space="preserve">, 2010 WL 935491, 105 A.F.T.R. 2d 2010-1347 (S.D. Ind. 2010)(slip copy); </w:t>
      </w:r>
      <w:r>
        <w:rPr>
          <w:b/>
          <w:bCs/>
          <w:i/>
          <w:iCs/>
        </w:rPr>
        <w:t>Price v. Comm'r</w:t>
      </w:r>
      <w:r>
        <w:rPr>
          <w:b/>
          <w:bCs/>
        </w:rPr>
        <w:t xml:space="preserve">, T.C. Memo. 2010-2; and </w:t>
      </w:r>
      <w:r>
        <w:rPr>
          <w:b/>
          <w:bCs/>
          <w:i/>
          <w:iCs/>
        </w:rPr>
        <w:t>Hackl v. Comm'r</w:t>
      </w:r>
      <w:r>
        <w:rPr>
          <w:b/>
          <w:bCs/>
        </w:rPr>
        <w:t xml:space="preserve">, 118 T.C. 279 (2002), </w:t>
      </w:r>
      <w:r>
        <w:rPr>
          <w:b/>
          <w:bCs/>
          <w:i/>
          <w:iCs/>
        </w:rPr>
        <w:t>aff’d</w:t>
      </w:r>
      <w:r>
        <w:rPr>
          <w:b/>
          <w:bCs/>
        </w:rPr>
        <w:t>, 335 F.3d 664 (7th Cir. 2003) -- Formed Under 2001 Revised Uniform Limited Partnership Act – Corporate General Partner Limits Lapse of Liquidation Rights</w:t>
      </w:r>
      <w:r w:rsidR="00BC7053">
        <w:rPr>
          <w:b/>
          <w:bCs/>
        </w:rPr>
        <w:fldChar w:fldCharType="begin"/>
      </w:r>
      <w:r>
        <w:rPr>
          <w:b/>
          <w:bCs/>
        </w:rPr>
        <w:instrText xml:space="preserve">tc \l1 "2. </w:instrText>
      </w:r>
      <w:r>
        <w:rPr>
          <w:b/>
          <w:bCs/>
        </w:rPr>
        <w:tab/>
        <w:instrText xml:space="preserve">Family Limited Partnership Agreement Giving Donee Limited Partners Full Right to Sell their Interests (Subject to a Right of First Refusal) -- Includes Deed of Gift Granting Donee a 30-Day Put Right, Which Should Cause Gifts of Limited Partnership Interests to Qualify for the Gift Tax Annual Exclusion Under </w:instrText>
      </w:r>
      <w:r>
        <w:rPr>
          <w:b/>
          <w:bCs/>
          <w:i/>
          <w:iCs/>
        </w:rPr>
        <w:instrText>Fisher v. United States</w:instrText>
      </w:r>
      <w:r>
        <w:rPr>
          <w:b/>
          <w:bCs/>
        </w:rPr>
        <w:instrText xml:space="preserve">, 2010 WL 935491, 105 A.F.T.R. 2d 2010-1347 (S.D. Ind. 2010)(slip copy); </w:instrText>
      </w:r>
      <w:r>
        <w:rPr>
          <w:b/>
          <w:bCs/>
          <w:i/>
          <w:iCs/>
        </w:rPr>
        <w:instrText>Price v. Comm'r</w:instrText>
      </w:r>
      <w:r>
        <w:rPr>
          <w:b/>
          <w:bCs/>
        </w:rPr>
        <w:instrText xml:space="preserve">, T.C. Memo. 2010-2; and </w:instrText>
      </w:r>
      <w:r>
        <w:rPr>
          <w:b/>
          <w:bCs/>
          <w:i/>
          <w:iCs/>
        </w:rPr>
        <w:instrText>Hackl v. Comm'r</w:instrText>
      </w:r>
      <w:r>
        <w:rPr>
          <w:b/>
          <w:bCs/>
        </w:rPr>
        <w:instrText xml:space="preserve">, 118 T.C. 279 (2002), </w:instrText>
      </w:r>
      <w:r>
        <w:rPr>
          <w:b/>
          <w:bCs/>
          <w:i/>
          <w:iCs/>
        </w:rPr>
        <w:instrText>aff’d</w:instrText>
      </w:r>
      <w:r>
        <w:rPr>
          <w:b/>
          <w:bCs/>
        </w:rPr>
        <w:instrText>, 335 F.3d 664 (7th Cir. 2003) -- Formed Under 2001 Revised Uniform Limited Partnership Act – Corporate General Partner Limits Lapse of Liquidation Rights</w:instrText>
      </w:r>
      <w:r w:rsidR="00BC7053">
        <w:rPr>
          <w:b/>
          <w:bCs/>
        </w:rPr>
        <w:fldChar w:fldCharType="end"/>
      </w:r>
      <w:r>
        <w:rPr>
          <w:rStyle w:val="FootnoteReference"/>
          <w:b/>
          <w:bCs/>
          <w:vertAlign w:val="superscript"/>
        </w:rPr>
        <w:footnoteReference w:id="3"/>
      </w:r>
    </w:p>
    <w:p w:rsidR="00800BE7" w:rsidRDefault="00800BE7">
      <w:pPr>
        <w:widowControl/>
        <w:jc w:val="both"/>
      </w:pPr>
    </w:p>
    <w:p w:rsidR="00800BE7" w:rsidRDefault="00800BE7">
      <w:pPr>
        <w:widowControl/>
        <w:tabs>
          <w:tab w:val="center" w:pos="4682"/>
        </w:tabs>
        <w:jc w:val="both"/>
      </w:pPr>
      <w:r>
        <w:tab/>
      </w:r>
      <w:r>
        <w:rPr>
          <w:b/>
          <w:bCs/>
        </w:rPr>
        <w:t>Limited Partnership Agreement</w:t>
      </w:r>
    </w:p>
    <w:p w:rsidR="00800BE7" w:rsidRDefault="00800BE7">
      <w:pPr>
        <w:widowControl/>
        <w:jc w:val="both"/>
      </w:pPr>
    </w:p>
    <w:p w:rsidR="00800BE7" w:rsidRDefault="00800BE7">
      <w:pPr>
        <w:widowControl/>
        <w:jc w:val="both"/>
      </w:pPr>
    </w:p>
    <w:p w:rsidR="00800BE7" w:rsidRDefault="00800BE7">
      <w:pPr>
        <w:widowControl/>
        <w:jc w:val="both"/>
      </w:pPr>
    </w:p>
    <w:p w:rsidR="00800BE7" w:rsidRDefault="00800BE7">
      <w:pPr>
        <w:widowControl/>
        <w:ind w:firstLine="720"/>
        <w:jc w:val="both"/>
      </w:pPr>
      <w:r>
        <w:t xml:space="preserve"> On [</w:t>
      </w:r>
      <w:r>
        <w:rPr>
          <w:u w:val="single"/>
        </w:rPr>
        <w:t>date</w:t>
      </w:r>
      <w:r>
        <w:t>], *GeneralPartner*, of [</w:t>
      </w:r>
      <w:r>
        <w:rPr>
          <w:u w:val="single"/>
        </w:rPr>
        <w:t>locality, state</w:t>
      </w:r>
      <w:r>
        <w:t>] (the general partner, defined below) and *LimitedPartner1*, of [</w:t>
      </w:r>
      <w:r>
        <w:rPr>
          <w:u w:val="single"/>
        </w:rPr>
        <w:t xml:space="preserve"> locality, state</w:t>
      </w:r>
      <w:r>
        <w:t>] , and *LimitedPartner2*, of [</w:t>
      </w:r>
      <w:r>
        <w:rPr>
          <w:u w:val="single"/>
        </w:rPr>
        <w:t xml:space="preserve"> locality, state</w:t>
      </w:r>
      <w:r>
        <w:t>] (together the limited partners and individually a limited partner, defined below), agreed to form this limited partnership (the partnership, defined below), to be referred to sometimes as *Name*.</w:t>
      </w:r>
    </w:p>
    <w:p w:rsidR="00800BE7" w:rsidRDefault="00800BE7">
      <w:pPr>
        <w:widowControl/>
        <w:jc w:val="both"/>
      </w:pPr>
    </w:p>
    <w:p w:rsidR="00800BE7" w:rsidRDefault="00800BE7">
      <w:pPr>
        <w:widowControl/>
        <w:tabs>
          <w:tab w:val="center" w:pos="4682"/>
        </w:tabs>
        <w:jc w:val="both"/>
      </w:pPr>
      <w:r>
        <w:tab/>
      </w:r>
      <w:r>
        <w:rPr>
          <w:b/>
          <w:bCs/>
        </w:rPr>
        <w:t>Recitals</w:t>
      </w:r>
    </w:p>
    <w:p w:rsidR="00800BE7" w:rsidRDefault="00800BE7">
      <w:pPr>
        <w:widowControl/>
        <w:jc w:val="both"/>
      </w:pPr>
    </w:p>
    <w:p w:rsidR="00800BE7" w:rsidRDefault="00800BE7">
      <w:pPr>
        <w:widowControl/>
        <w:ind w:firstLine="720"/>
        <w:jc w:val="both"/>
      </w:pPr>
      <w:r>
        <w:rPr>
          <w:b/>
          <w:bCs/>
        </w:rPr>
        <w:t>A.</w:t>
      </w:r>
      <w:r>
        <w:t xml:space="preserve">  The partners (defined below) desire to enter into this agreement (the agreement, defined below) to establish a limited partnership to own certain property and transact certain business;</w:t>
      </w:r>
    </w:p>
    <w:p w:rsidR="00800BE7" w:rsidRDefault="00800BE7">
      <w:pPr>
        <w:widowControl/>
        <w:jc w:val="both"/>
      </w:pPr>
    </w:p>
    <w:p w:rsidR="00800BE7" w:rsidRDefault="00800BE7">
      <w:pPr>
        <w:widowControl/>
        <w:ind w:firstLine="720"/>
        <w:jc w:val="both"/>
      </w:pPr>
      <w:r>
        <w:rPr>
          <w:b/>
          <w:bCs/>
        </w:rPr>
        <w:t>B.</w:t>
      </w:r>
      <w:r>
        <w:t xml:space="preserve">  The partners desire to share in the risks, benefits, profits, and losses of the partnership's activities;</w:t>
      </w:r>
    </w:p>
    <w:p w:rsidR="00800BE7" w:rsidRDefault="00800BE7">
      <w:pPr>
        <w:widowControl/>
        <w:jc w:val="both"/>
      </w:pPr>
    </w:p>
    <w:p w:rsidR="00800BE7" w:rsidRDefault="00800BE7">
      <w:pPr>
        <w:widowControl/>
        <w:ind w:firstLine="720"/>
        <w:jc w:val="both"/>
      </w:pPr>
      <w:r>
        <w:rPr>
          <w:b/>
          <w:bCs/>
        </w:rPr>
        <w:t>C.</w:t>
      </w:r>
      <w:r>
        <w:t xml:space="preserve">  The partners desire that any gift of a partnership interest and any gratuitous addition to a partner’s capital account qualify for the federal gift tax annual exclusion by providing the donee partner with a substantial and immediate present economic benefit;</w:t>
      </w:r>
    </w:p>
    <w:p w:rsidR="00800BE7" w:rsidRDefault="00800BE7">
      <w:pPr>
        <w:widowControl/>
        <w:jc w:val="both"/>
      </w:pPr>
    </w:p>
    <w:p w:rsidR="00800BE7" w:rsidRDefault="00800BE7">
      <w:pPr>
        <w:widowControl/>
        <w:ind w:firstLine="720"/>
        <w:jc w:val="both"/>
      </w:pPr>
      <w:r>
        <w:rPr>
          <w:b/>
          <w:bCs/>
        </w:rPr>
        <w:t>D.</w:t>
      </w:r>
      <w:r>
        <w:t xml:space="preserve">  The partners desire that *GeneralPartner* be the sole general partner and that all other partners be limited partners.</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keepNext/>
        <w:keepLines/>
        <w:widowControl/>
        <w:tabs>
          <w:tab w:val="center" w:pos="4682"/>
        </w:tabs>
        <w:jc w:val="both"/>
      </w:pPr>
      <w:r>
        <w:lastRenderedPageBreak/>
        <w:tab/>
      </w:r>
      <w:r>
        <w:rPr>
          <w:b/>
          <w:bCs/>
        </w:rPr>
        <w:t>Agreements</w:t>
      </w:r>
    </w:p>
    <w:p w:rsidR="00800BE7" w:rsidRDefault="00800BE7">
      <w:pPr>
        <w:keepNext/>
        <w:keepLines/>
        <w:widowControl/>
        <w:jc w:val="both"/>
      </w:pPr>
    </w:p>
    <w:p w:rsidR="00800BE7" w:rsidRDefault="00800BE7">
      <w:pPr>
        <w:keepNext/>
        <w:keepLines/>
        <w:widowControl/>
        <w:tabs>
          <w:tab w:val="center" w:pos="4682"/>
        </w:tabs>
        <w:jc w:val="both"/>
      </w:pPr>
      <w:r>
        <w:tab/>
      </w:r>
      <w:r>
        <w:rPr>
          <w:b/>
          <w:bCs/>
        </w:rPr>
        <w:t>Section 1.  Name</w:t>
      </w:r>
    </w:p>
    <w:p w:rsidR="00800BE7" w:rsidRDefault="00800BE7">
      <w:pPr>
        <w:keepNext/>
        <w:keepLines/>
        <w:widowControl/>
        <w:jc w:val="both"/>
      </w:pPr>
    </w:p>
    <w:p w:rsidR="00800BE7" w:rsidRDefault="00800BE7">
      <w:pPr>
        <w:keepLines/>
        <w:widowControl/>
        <w:ind w:firstLine="720"/>
        <w:jc w:val="both"/>
      </w:pPr>
      <w:r>
        <w:t>The Partnership's name is *Name*.</w:t>
      </w:r>
    </w:p>
    <w:p w:rsidR="00800BE7" w:rsidRDefault="00800BE7">
      <w:pPr>
        <w:widowControl/>
        <w:jc w:val="both"/>
      </w:pPr>
    </w:p>
    <w:p w:rsidR="00800BE7" w:rsidRDefault="00800BE7">
      <w:pPr>
        <w:widowControl/>
        <w:tabs>
          <w:tab w:val="center" w:pos="4682"/>
        </w:tabs>
        <w:jc w:val="both"/>
      </w:pPr>
      <w:r>
        <w:rPr>
          <w:b/>
          <w:bCs/>
        </w:rPr>
        <w:tab/>
        <w:t>Section 2.  Place of business and agent</w:t>
      </w:r>
    </w:p>
    <w:p w:rsidR="00800BE7" w:rsidRDefault="00800BE7">
      <w:pPr>
        <w:widowControl/>
        <w:jc w:val="both"/>
      </w:pPr>
    </w:p>
    <w:p w:rsidR="00800BE7" w:rsidRDefault="00800BE7">
      <w:pPr>
        <w:widowControl/>
        <w:ind w:firstLine="720"/>
        <w:jc w:val="both"/>
      </w:pPr>
      <w:r>
        <w:rPr>
          <w:b/>
          <w:bCs/>
        </w:rPr>
        <w:t>2.1  Place of business.</w:t>
      </w:r>
      <w:r>
        <w:t xml:space="preserve"> The partnership's principal place of business is at [</w:t>
      </w:r>
      <w:r>
        <w:rPr>
          <w:u w:val="single"/>
        </w:rPr>
        <w:t>full street address</w:t>
      </w:r>
      <w:r>
        <w:t>], but the general partner may change the partnership's principal place of business to another location and add additional places of business.</w:t>
      </w:r>
    </w:p>
    <w:p w:rsidR="00800BE7" w:rsidRDefault="00800BE7">
      <w:pPr>
        <w:widowControl/>
        <w:jc w:val="both"/>
      </w:pPr>
    </w:p>
    <w:p w:rsidR="00800BE7" w:rsidRDefault="00800BE7">
      <w:pPr>
        <w:widowControl/>
        <w:ind w:firstLine="720"/>
        <w:jc w:val="both"/>
      </w:pPr>
      <w:r>
        <w:rPr>
          <w:b/>
          <w:bCs/>
        </w:rPr>
        <w:t>2.2  Agent.</w:t>
      </w:r>
      <w:r>
        <w:t xml:space="preserve"> The partnership's agent for service of process shall be *</w:t>
      </w:r>
      <w:r>
        <w:rPr>
          <w:u w:val="single"/>
        </w:rPr>
        <w:t>Agen</w:t>
      </w:r>
      <w:r>
        <w:t>t*, of</w:t>
      </w:r>
      <w:r>
        <w:rPr>
          <w:u w:val="single"/>
        </w:rPr>
        <w:t xml:space="preserve"> [address</w:t>
      </w:r>
      <w:r>
        <w:t>].  All records that the partnership is required to keep at a specified office shall be kept at its principal place of business.</w:t>
      </w:r>
    </w:p>
    <w:p w:rsidR="00800BE7" w:rsidRDefault="00800BE7">
      <w:pPr>
        <w:widowControl/>
        <w:jc w:val="both"/>
      </w:pPr>
    </w:p>
    <w:p w:rsidR="00800BE7" w:rsidRDefault="00800BE7">
      <w:pPr>
        <w:widowControl/>
        <w:tabs>
          <w:tab w:val="center" w:pos="4682"/>
        </w:tabs>
        <w:jc w:val="both"/>
      </w:pPr>
      <w:r>
        <w:tab/>
      </w:r>
      <w:r>
        <w:rPr>
          <w:b/>
          <w:bCs/>
        </w:rPr>
        <w:t>Section 3.  Business</w:t>
      </w:r>
    </w:p>
    <w:p w:rsidR="00800BE7" w:rsidRDefault="00800BE7">
      <w:pPr>
        <w:widowControl/>
        <w:jc w:val="both"/>
      </w:pPr>
    </w:p>
    <w:p w:rsidR="00800BE7" w:rsidRDefault="00800BE7">
      <w:pPr>
        <w:widowControl/>
        <w:ind w:firstLine="720"/>
        <w:jc w:val="both"/>
      </w:pPr>
      <w:r>
        <w:t>The partnership is formed to own and manage certain real and personal property as the general partner may buy for the partnership, and to conduct any other legal business.</w:t>
      </w:r>
    </w:p>
    <w:p w:rsidR="00800BE7" w:rsidRDefault="00800BE7">
      <w:pPr>
        <w:widowControl/>
        <w:jc w:val="both"/>
      </w:pPr>
    </w:p>
    <w:p w:rsidR="00800BE7" w:rsidRDefault="00800BE7">
      <w:pPr>
        <w:widowControl/>
        <w:tabs>
          <w:tab w:val="center" w:pos="4682"/>
        </w:tabs>
        <w:jc w:val="both"/>
      </w:pPr>
      <w:r>
        <w:tab/>
      </w:r>
      <w:r>
        <w:rPr>
          <w:b/>
          <w:bCs/>
        </w:rPr>
        <w:t>Section 4.  Term</w:t>
      </w:r>
    </w:p>
    <w:p w:rsidR="00800BE7" w:rsidRDefault="00800BE7">
      <w:pPr>
        <w:widowControl/>
        <w:jc w:val="both"/>
      </w:pPr>
    </w:p>
    <w:p w:rsidR="00800BE7" w:rsidRDefault="00800BE7">
      <w:pPr>
        <w:widowControl/>
        <w:ind w:firstLine="720"/>
        <w:jc w:val="both"/>
      </w:pPr>
      <w:r>
        <w:rPr>
          <w:b/>
          <w:bCs/>
        </w:rPr>
        <w:t>4.1  Initial term.</w:t>
      </w:r>
      <w:r>
        <w:t xml:space="preserve"> The partnership begins on the date of the agreement and ends on December 31, 2052, unless terminated earlier.</w:t>
      </w:r>
    </w:p>
    <w:p w:rsidR="00800BE7" w:rsidRDefault="00800BE7">
      <w:pPr>
        <w:widowControl/>
        <w:jc w:val="both"/>
      </w:pPr>
    </w:p>
    <w:p w:rsidR="00800BE7" w:rsidRDefault="00800BE7">
      <w:pPr>
        <w:widowControl/>
        <w:ind w:firstLine="720"/>
        <w:jc w:val="both"/>
      </w:pPr>
      <w:r>
        <w:rPr>
          <w:b/>
          <w:bCs/>
        </w:rPr>
        <w:t>4.2  Extension.</w:t>
      </w:r>
      <w:r>
        <w:t xml:space="preserve"> The partnership may be continued beyond its scheduled termination date by an affirmative vote of all of the then</w:t>
      </w:r>
      <w:r>
        <w:noBreakHyphen/>
        <w:t>remaining partners.</w:t>
      </w:r>
    </w:p>
    <w:p w:rsidR="00800BE7" w:rsidRDefault="00800BE7">
      <w:pPr>
        <w:widowControl/>
        <w:jc w:val="both"/>
      </w:pPr>
    </w:p>
    <w:p w:rsidR="00800BE7" w:rsidRDefault="00800BE7">
      <w:pPr>
        <w:keepNext/>
        <w:keepLines/>
        <w:widowControl/>
        <w:tabs>
          <w:tab w:val="center" w:pos="4682"/>
        </w:tabs>
        <w:ind w:left="7200" w:hanging="7200"/>
        <w:jc w:val="both"/>
      </w:pPr>
      <w:r>
        <w:tab/>
      </w:r>
      <w:r>
        <w:rPr>
          <w:b/>
          <w:bCs/>
        </w:rPr>
        <w:t>Section 5.  Capital and Partnership Interests</w:t>
      </w:r>
      <w:r>
        <w:tab/>
      </w:r>
    </w:p>
    <w:p w:rsidR="00800BE7" w:rsidRDefault="00800BE7">
      <w:pPr>
        <w:keepNext/>
        <w:keepLines/>
        <w:widowControl/>
        <w:jc w:val="both"/>
      </w:pPr>
    </w:p>
    <w:p w:rsidR="00800BE7" w:rsidRDefault="00800BE7">
      <w:pPr>
        <w:keepLines/>
        <w:widowControl/>
        <w:ind w:firstLine="720"/>
        <w:jc w:val="both"/>
      </w:pPr>
      <w:r>
        <w:rPr>
          <w:b/>
          <w:bCs/>
        </w:rPr>
        <w:t>5.1  Partnership Interests.</w:t>
      </w:r>
      <w:r>
        <w:t xml:space="preserve">  Each partner's partnership interest (defined below) and each partner's percentage of the total partnership capital accounts (defined below) shall be set forth in a schedule to the agreement [omitted form this exemplar].  A partner’s percentage of partnership interest shall always be the same as his, her, or its percentage of the total partnership capital accounts, and a change in a partner’s percentage of the total partnership capital accounts shall automatically be reflected in the partner’s percentage of partnership interest.</w:t>
      </w:r>
    </w:p>
    <w:p w:rsidR="00800BE7" w:rsidRDefault="00800BE7">
      <w:pPr>
        <w:widowControl/>
        <w:jc w:val="both"/>
      </w:pPr>
    </w:p>
    <w:p w:rsidR="00800BE7" w:rsidRDefault="00800BE7">
      <w:pPr>
        <w:widowControl/>
        <w:ind w:firstLine="720"/>
        <w:jc w:val="both"/>
      </w:pPr>
      <w:r>
        <w:rPr>
          <w:b/>
          <w:bCs/>
        </w:rPr>
        <w:t>5.2  Additions.</w:t>
      </w:r>
      <w:r>
        <w:t xml:space="preserve">  A partner shall not be compelled to make any additional capital contributions.</w:t>
      </w:r>
    </w:p>
    <w:p w:rsidR="00800BE7" w:rsidRDefault="00800BE7">
      <w:pPr>
        <w:widowControl/>
        <w:jc w:val="both"/>
      </w:pPr>
    </w:p>
    <w:p w:rsidR="00800BE7" w:rsidRDefault="00800BE7">
      <w:pPr>
        <w:widowControl/>
        <w:ind w:firstLine="720"/>
        <w:jc w:val="both"/>
        <w:rPr>
          <w:b/>
          <w:bCs/>
        </w:rPr>
      </w:pPr>
      <w:r>
        <w:rPr>
          <w:b/>
          <w:bCs/>
        </w:rPr>
        <w:lastRenderedPageBreak/>
        <w:t>5.3  Adjustments.</w:t>
      </w:r>
      <w:r>
        <w:t xml:space="preserve">  Each partner's capital account shall be adjusted as necessary to reflect the economic conditions of the partners and their partnership interests. These adjustments shall include, but are not limited to, the following:</w:t>
      </w:r>
    </w:p>
    <w:p w:rsidR="00800BE7" w:rsidRDefault="00800BE7">
      <w:pPr>
        <w:widowControl/>
        <w:ind w:firstLine="720"/>
        <w:jc w:val="both"/>
        <w:rPr>
          <w:b/>
          <w:bCs/>
        </w:rPr>
        <w:sectPr w:rsidR="00800BE7">
          <w:type w:val="continuous"/>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5.3.1</w:t>
      </w:r>
      <w:r>
        <w:t xml:space="preserve">  Adjustments to reflect each partner's distributive share of partnership profits and losses, including capital gains and losses, and tax</w:t>
      </w:r>
      <w:r>
        <w:noBreakHyphen/>
        <w:t>exempt income;</w:t>
      </w:r>
    </w:p>
    <w:p w:rsidR="00800BE7" w:rsidRDefault="00800BE7">
      <w:pPr>
        <w:widowControl/>
        <w:jc w:val="both"/>
      </w:pPr>
    </w:p>
    <w:p w:rsidR="00800BE7" w:rsidRDefault="00800BE7">
      <w:pPr>
        <w:widowControl/>
        <w:ind w:firstLine="1440"/>
        <w:jc w:val="both"/>
      </w:pPr>
      <w:r>
        <w:rPr>
          <w:b/>
          <w:bCs/>
        </w:rPr>
        <w:t xml:space="preserve">5.3.2 </w:t>
      </w:r>
      <w:r>
        <w:t xml:space="preserve"> Adjustments to reflect each partner's additional contributions to the partnership;</w:t>
      </w:r>
    </w:p>
    <w:p w:rsidR="00800BE7" w:rsidRDefault="00800BE7">
      <w:pPr>
        <w:widowControl/>
        <w:jc w:val="both"/>
      </w:pPr>
    </w:p>
    <w:p w:rsidR="00800BE7" w:rsidRDefault="00800BE7">
      <w:pPr>
        <w:widowControl/>
        <w:ind w:firstLine="1440"/>
        <w:jc w:val="both"/>
      </w:pPr>
      <w:r>
        <w:rPr>
          <w:b/>
          <w:bCs/>
        </w:rPr>
        <w:t>5.3.3</w:t>
      </w:r>
      <w:r>
        <w:t xml:space="preserve">  Adjustments to reflect distributions made by the partnership to each partner;</w:t>
      </w:r>
    </w:p>
    <w:p w:rsidR="00800BE7" w:rsidRDefault="00800BE7">
      <w:pPr>
        <w:widowControl/>
        <w:jc w:val="both"/>
      </w:pPr>
    </w:p>
    <w:p w:rsidR="00800BE7" w:rsidRDefault="00800BE7">
      <w:pPr>
        <w:widowControl/>
        <w:ind w:firstLine="1440"/>
        <w:jc w:val="both"/>
      </w:pPr>
      <w:r>
        <w:rPr>
          <w:b/>
          <w:bCs/>
        </w:rPr>
        <w:t>5.3.4</w:t>
      </w:r>
      <w:r>
        <w:t xml:space="preserve">  Tax</w:t>
      </w:r>
      <w:r>
        <w:noBreakHyphen/>
        <w:t>sensitive adjustments (defined below).</w:t>
      </w:r>
    </w:p>
    <w:p w:rsidR="00800BE7" w:rsidRDefault="00800BE7">
      <w:pPr>
        <w:widowControl/>
        <w:jc w:val="both"/>
      </w:pPr>
    </w:p>
    <w:p w:rsidR="00800BE7" w:rsidRDefault="00800BE7">
      <w:pPr>
        <w:widowControl/>
        <w:ind w:firstLine="720"/>
        <w:jc w:val="both"/>
      </w:pPr>
      <w:r>
        <w:rPr>
          <w:b/>
          <w:bCs/>
        </w:rPr>
        <w:t>5.4  Loans.</w:t>
      </w:r>
      <w:r>
        <w:t xml:space="preserve">  A partner's loans to the partnership shall not be added to that partner's capital account.</w:t>
      </w:r>
    </w:p>
    <w:p w:rsidR="00800BE7" w:rsidRDefault="00800BE7">
      <w:pPr>
        <w:widowControl/>
        <w:jc w:val="both"/>
      </w:pPr>
    </w:p>
    <w:p w:rsidR="00800BE7" w:rsidRDefault="00800BE7">
      <w:pPr>
        <w:widowControl/>
        <w:ind w:firstLine="720"/>
        <w:jc w:val="both"/>
      </w:pPr>
      <w:r>
        <w:rPr>
          <w:b/>
          <w:bCs/>
        </w:rPr>
        <w:t>5.5  Amount of contributions.</w:t>
      </w:r>
      <w:r>
        <w:t xml:space="preserve">  The amount of a partner's contributions of property to the partnership and of the partnership's distributions of property to a partner shall be reflected in the partner's capital account at the fair market value of the property on the date of the contribution or distribution, reduced by any liabilities secured by that property, if those liabilities are treated under applicable federal income tax laws as being assumed by or taken subject to by the transferee.</w:t>
      </w:r>
    </w:p>
    <w:p w:rsidR="00800BE7" w:rsidRDefault="00800BE7">
      <w:pPr>
        <w:widowControl/>
        <w:jc w:val="both"/>
      </w:pPr>
    </w:p>
    <w:p w:rsidR="00800BE7" w:rsidRDefault="00800BE7">
      <w:pPr>
        <w:widowControl/>
        <w:ind w:firstLine="720"/>
        <w:jc w:val="both"/>
      </w:pPr>
      <w:r>
        <w:rPr>
          <w:b/>
          <w:bCs/>
        </w:rPr>
        <w:t>5.6  No Interest Paid.</w:t>
      </w:r>
      <w:r>
        <w:t xml:space="preserve">  A partner shall receive no interest on his, her, or its capital contributions or partnership interest.</w:t>
      </w:r>
    </w:p>
    <w:p w:rsidR="00800BE7" w:rsidRDefault="00800BE7">
      <w:pPr>
        <w:widowControl/>
        <w:jc w:val="both"/>
      </w:pPr>
    </w:p>
    <w:p w:rsidR="00800BE7" w:rsidRDefault="00800BE7">
      <w:pPr>
        <w:widowControl/>
        <w:ind w:firstLine="720"/>
        <w:jc w:val="both"/>
      </w:pPr>
      <w:r>
        <w:rPr>
          <w:b/>
          <w:bCs/>
        </w:rPr>
        <w:t>5.7  Withdrawals.</w:t>
      </w:r>
      <w:r>
        <w:t xml:space="preserve">  A partner may not withdraw any of his, her, or its capital account.</w:t>
      </w:r>
    </w:p>
    <w:p w:rsidR="00800BE7" w:rsidRDefault="00800BE7">
      <w:pPr>
        <w:widowControl/>
        <w:jc w:val="both"/>
      </w:pPr>
    </w:p>
    <w:p w:rsidR="00800BE7" w:rsidRDefault="00800BE7">
      <w:pPr>
        <w:keepNext/>
        <w:keepLines/>
        <w:widowControl/>
        <w:tabs>
          <w:tab w:val="center" w:pos="4682"/>
        </w:tabs>
        <w:jc w:val="both"/>
      </w:pPr>
      <w:r>
        <w:tab/>
      </w:r>
      <w:r>
        <w:rPr>
          <w:b/>
          <w:bCs/>
        </w:rPr>
        <w:t>Section 6.  Profits, Losses, and Cash Flow</w:t>
      </w:r>
    </w:p>
    <w:p w:rsidR="00800BE7" w:rsidRDefault="00800BE7">
      <w:pPr>
        <w:keepNext/>
        <w:keepLines/>
        <w:widowControl/>
        <w:jc w:val="both"/>
      </w:pPr>
    </w:p>
    <w:p w:rsidR="00800BE7" w:rsidRDefault="00800BE7">
      <w:pPr>
        <w:keepLines/>
        <w:widowControl/>
        <w:ind w:firstLine="720"/>
        <w:jc w:val="both"/>
        <w:rPr>
          <w:b/>
          <w:bCs/>
        </w:rPr>
      </w:pPr>
      <w:r>
        <w:rPr>
          <w:b/>
          <w:bCs/>
        </w:rPr>
        <w:t>6.1  Profits and Losses.</w:t>
      </w:r>
      <w:r>
        <w:t xml:space="preserve">  The partnership's net profits and losses (and each item of income, deduction, gain, loss, and credit that makes up net profits and losses) shall be computed in accordance with generally accepted accounting principles, consistently applied, and shall be allocated among the partners in proportion to their partnership interests.</w:t>
      </w:r>
    </w:p>
    <w:p w:rsidR="00800BE7" w:rsidRDefault="00800BE7">
      <w:pPr>
        <w:widowControl/>
        <w:jc w:val="both"/>
        <w:rPr>
          <w:b/>
          <w:bCs/>
        </w:rPr>
      </w:pPr>
    </w:p>
    <w:p w:rsidR="00800BE7" w:rsidRDefault="00800BE7">
      <w:pPr>
        <w:widowControl/>
        <w:ind w:firstLine="1440"/>
        <w:jc w:val="both"/>
      </w:pPr>
      <w:r>
        <w:rPr>
          <w:b/>
          <w:bCs/>
        </w:rPr>
        <w:t>6.1.1</w:t>
      </w:r>
      <w:r>
        <w:t xml:space="preserve">  Notwithstanding the general rule stated in Section 6.1., any income, gain, loss, and deduction with respect to property contributed to the partnership by a partner shall be shared among the partners so as to take account of any variation between the basis and the fair market value of the contributed property at the time of the contribution, in accordance with any applicable U.S. Treasury regulations.</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6.1.2</w:t>
      </w:r>
      <w:r>
        <w:t xml:space="preserve">  There shall be an income offset (defined below), under which net losses that would otherwise be allocated to a limited partner and that would cause the limited partner's capital account to be in deficit shall instead be allocated to the general partner.  After such an allocation of net losses, net profits shall be allocated to the general partner, until the general partner shall have received an allocation of net profits equal to the aggregate allocation of net losses allocated under this paragraph.</w:t>
      </w:r>
    </w:p>
    <w:p w:rsidR="00800BE7" w:rsidRDefault="00800BE7">
      <w:pPr>
        <w:widowControl/>
        <w:jc w:val="both"/>
      </w:pPr>
    </w:p>
    <w:p w:rsidR="00800BE7" w:rsidRDefault="00800BE7">
      <w:pPr>
        <w:widowControl/>
        <w:ind w:firstLine="1440"/>
        <w:jc w:val="both"/>
      </w:pPr>
      <w:r>
        <w:rPr>
          <w:b/>
          <w:bCs/>
        </w:rPr>
        <w:t>6.1.3</w:t>
      </w:r>
      <w:r>
        <w:t xml:space="preserve">  Profits and losses shall, whenever a partner is dissociated (defined below) from the partnership be allocated among the partners based on the number of days (defined below) in that year during which each partner owned a partnership interest, or on any other reasonable basis selected by the managing general partner, consistent with applicable United States tax laws and regulations.</w:t>
      </w:r>
    </w:p>
    <w:p w:rsidR="00800BE7" w:rsidRDefault="00800BE7">
      <w:pPr>
        <w:widowControl/>
        <w:jc w:val="both"/>
      </w:pPr>
    </w:p>
    <w:p w:rsidR="00800BE7" w:rsidRDefault="00800BE7">
      <w:pPr>
        <w:widowControl/>
        <w:ind w:firstLine="720"/>
        <w:jc w:val="both"/>
      </w:pPr>
      <w:r>
        <w:rPr>
          <w:b/>
          <w:bCs/>
        </w:rPr>
        <w:t>6.2  Cash Flow.</w:t>
      </w:r>
      <w:r>
        <w:t xml:space="preserve">  The general partner shall cause the partnership to distribute its net cash flow (defined below) to the partners annually, in proportion to their partnership interests.</w:t>
      </w:r>
    </w:p>
    <w:p w:rsidR="00800BE7" w:rsidRDefault="00800BE7">
      <w:pPr>
        <w:widowControl/>
        <w:jc w:val="both"/>
      </w:pPr>
    </w:p>
    <w:p w:rsidR="00800BE7" w:rsidRDefault="00800BE7">
      <w:pPr>
        <w:keepNext/>
        <w:keepLines/>
        <w:widowControl/>
        <w:tabs>
          <w:tab w:val="center" w:pos="4682"/>
        </w:tabs>
        <w:jc w:val="both"/>
      </w:pPr>
      <w:r>
        <w:tab/>
      </w:r>
      <w:r>
        <w:rPr>
          <w:b/>
          <w:bCs/>
        </w:rPr>
        <w:t>Section 7.  Management</w:t>
      </w:r>
    </w:p>
    <w:p w:rsidR="00800BE7" w:rsidRDefault="00800BE7">
      <w:pPr>
        <w:keepNext/>
        <w:keepLines/>
        <w:widowControl/>
        <w:jc w:val="both"/>
      </w:pPr>
    </w:p>
    <w:p w:rsidR="00800BE7" w:rsidRDefault="00800BE7">
      <w:pPr>
        <w:keepLines/>
        <w:widowControl/>
        <w:ind w:firstLine="720"/>
        <w:jc w:val="both"/>
      </w:pPr>
      <w:r>
        <w:rPr>
          <w:b/>
          <w:bCs/>
        </w:rPr>
        <w:t>7.1  General Partner.</w:t>
      </w:r>
      <w:r>
        <w:t xml:space="preserve">  The general partner shall have the full and exclusive power on the partnership's behalf to manage its business and affairs and to do or cause to be done anything deemed necessary or appropriate for the partnership's business. This authority includes, but is not limited to, the following:</w:t>
      </w:r>
    </w:p>
    <w:p w:rsidR="00800BE7" w:rsidRDefault="00800BE7">
      <w:pPr>
        <w:widowControl/>
        <w:jc w:val="both"/>
      </w:pPr>
    </w:p>
    <w:p w:rsidR="00800BE7" w:rsidRDefault="00800BE7">
      <w:pPr>
        <w:widowControl/>
        <w:ind w:firstLine="1440"/>
        <w:jc w:val="both"/>
      </w:pPr>
      <w:r>
        <w:rPr>
          <w:b/>
          <w:bCs/>
        </w:rPr>
        <w:t>7.1.1</w:t>
      </w:r>
      <w:r>
        <w:t xml:space="preserve">  The general partner may sell real or personal property to any person, giving any warranties or assurances deemed appropriate;</w:t>
      </w:r>
    </w:p>
    <w:p w:rsidR="00800BE7" w:rsidRDefault="00800BE7">
      <w:pPr>
        <w:widowControl/>
        <w:jc w:val="both"/>
      </w:pPr>
    </w:p>
    <w:p w:rsidR="00800BE7" w:rsidRDefault="00800BE7">
      <w:pPr>
        <w:widowControl/>
        <w:ind w:firstLine="1440"/>
        <w:jc w:val="both"/>
      </w:pPr>
      <w:r>
        <w:rPr>
          <w:b/>
          <w:bCs/>
        </w:rPr>
        <w:t>7.1.2</w:t>
      </w:r>
      <w:r>
        <w:t xml:space="preserve">  The general partner may buy, lease, or otherwise acquire real or personal property to carry on and conduct the partnership's business;</w:t>
      </w:r>
    </w:p>
    <w:p w:rsidR="00800BE7" w:rsidRDefault="00800BE7">
      <w:pPr>
        <w:widowControl/>
        <w:jc w:val="both"/>
      </w:pPr>
    </w:p>
    <w:p w:rsidR="00800BE7" w:rsidRDefault="00800BE7">
      <w:pPr>
        <w:widowControl/>
        <w:ind w:firstLine="1440"/>
        <w:jc w:val="both"/>
      </w:pPr>
      <w:r>
        <w:rPr>
          <w:b/>
          <w:bCs/>
        </w:rPr>
        <w:t>7.1.3</w:t>
      </w:r>
      <w:r>
        <w:t xml:space="preserve">  The general partner may borrow money for the partnership's business;</w:t>
      </w:r>
    </w:p>
    <w:p w:rsidR="00800BE7" w:rsidRDefault="00800BE7">
      <w:pPr>
        <w:widowControl/>
        <w:jc w:val="both"/>
      </w:pPr>
    </w:p>
    <w:p w:rsidR="00800BE7" w:rsidRDefault="00800BE7">
      <w:pPr>
        <w:widowControl/>
        <w:ind w:firstLine="1440"/>
        <w:jc w:val="both"/>
      </w:pPr>
      <w:r>
        <w:rPr>
          <w:b/>
          <w:bCs/>
        </w:rPr>
        <w:t>7.1.4</w:t>
      </w:r>
      <w:r>
        <w:t xml:space="preserve">  The general partner may issue promissory notes and other debt instruments (negotiable or nonnegotiable), in any amounts and secured by any encum</w:t>
      </w:r>
      <w:r>
        <w:softHyphen/>
        <w:t>brance on all or any part of the partnership's assets;</w:t>
      </w:r>
    </w:p>
    <w:p w:rsidR="00800BE7" w:rsidRDefault="00800BE7">
      <w:pPr>
        <w:widowControl/>
        <w:jc w:val="both"/>
      </w:pPr>
    </w:p>
    <w:p w:rsidR="00800BE7" w:rsidRDefault="00800BE7">
      <w:pPr>
        <w:widowControl/>
        <w:ind w:firstLine="1440"/>
        <w:jc w:val="both"/>
      </w:pPr>
      <w:r>
        <w:rPr>
          <w:b/>
          <w:bCs/>
        </w:rPr>
        <w:t>7.1.5</w:t>
      </w:r>
      <w:r>
        <w:t xml:space="preserve">  The general partner may assign any debts owing to the partnership;</w:t>
      </w:r>
    </w:p>
    <w:p w:rsidR="00800BE7" w:rsidRDefault="00800BE7">
      <w:pPr>
        <w:widowControl/>
        <w:jc w:val="both"/>
      </w:pPr>
    </w:p>
    <w:p w:rsidR="00800BE7" w:rsidRDefault="00800BE7">
      <w:pPr>
        <w:widowControl/>
        <w:ind w:firstLine="1440"/>
        <w:jc w:val="both"/>
      </w:pPr>
      <w:r>
        <w:rPr>
          <w:b/>
          <w:bCs/>
        </w:rPr>
        <w:t>7.1.6</w:t>
      </w:r>
      <w:r>
        <w:t xml:space="preserve">  The general partner may engage in any other means of financing;</w:t>
      </w:r>
    </w:p>
    <w:p w:rsidR="00800BE7" w:rsidRDefault="00800BE7">
      <w:pPr>
        <w:widowControl/>
        <w:jc w:val="both"/>
      </w:pPr>
    </w:p>
    <w:p w:rsidR="00800BE7" w:rsidRDefault="00800BE7">
      <w:pPr>
        <w:widowControl/>
        <w:ind w:firstLine="1440"/>
        <w:jc w:val="both"/>
      </w:pPr>
      <w:r>
        <w:rPr>
          <w:b/>
          <w:bCs/>
        </w:rPr>
        <w:t>7.1.7</w:t>
      </w:r>
      <w:r>
        <w:t xml:space="preserve">  The general partner may enter into any agreement for sharing of profits and any joint venture agreement with any person or entity engaging in any business or venture in which this partnership may engage;</w:t>
      </w:r>
    </w:p>
    <w:p w:rsidR="00800BE7" w:rsidRDefault="00800BE7">
      <w:pPr>
        <w:widowControl/>
        <w:jc w:val="both"/>
      </w:pPr>
    </w:p>
    <w:p w:rsidR="00800BE7" w:rsidRDefault="00800BE7">
      <w:pPr>
        <w:widowControl/>
        <w:ind w:firstLine="1440"/>
        <w:jc w:val="both"/>
      </w:pPr>
      <w:r>
        <w:rPr>
          <w:b/>
          <w:bCs/>
        </w:rPr>
        <w:lastRenderedPageBreak/>
        <w:t>7.1.8</w:t>
      </w:r>
      <w:r>
        <w:t xml:space="preserve">  The general partner may manage, administer, conserve, improve, develop, operate, lease, utilize, and defend the partnership's assets, directly or through third parties;</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7.1.9</w:t>
      </w:r>
      <w:r>
        <w:t xml:space="preserve">  The general partner may execute any type of agreement or instrument in connection with any other partnership power;</w:t>
      </w:r>
    </w:p>
    <w:p w:rsidR="00800BE7" w:rsidRDefault="00800BE7">
      <w:pPr>
        <w:widowControl/>
        <w:jc w:val="both"/>
      </w:pPr>
    </w:p>
    <w:p w:rsidR="00800BE7" w:rsidRDefault="00800BE7">
      <w:pPr>
        <w:widowControl/>
        <w:ind w:firstLine="1440"/>
        <w:jc w:val="both"/>
      </w:pPr>
      <w:r>
        <w:rPr>
          <w:b/>
          <w:bCs/>
        </w:rPr>
        <w:t>7.1.10</w:t>
      </w:r>
      <w:r>
        <w:t xml:space="preserve">  The general partner may employ all types of agents and employees (including lawyers and accountants), even if they are related by blood, marriage, or business relationship to the general partner, and pay them reasonable compensation;</w:t>
      </w:r>
    </w:p>
    <w:p w:rsidR="00800BE7" w:rsidRDefault="00800BE7">
      <w:pPr>
        <w:widowControl/>
        <w:jc w:val="both"/>
      </w:pPr>
    </w:p>
    <w:p w:rsidR="00800BE7" w:rsidRDefault="00800BE7">
      <w:pPr>
        <w:widowControl/>
        <w:ind w:firstLine="1440"/>
        <w:jc w:val="both"/>
      </w:pPr>
      <w:r>
        <w:rPr>
          <w:b/>
          <w:bCs/>
        </w:rPr>
        <w:t>7.1.11</w:t>
      </w:r>
      <w:r>
        <w:t xml:space="preserve">  The general partner may buy or otherwise obtain the use of any type of equipment or other property that may be convenient or advisable in connection with any partnership business;</w:t>
      </w:r>
    </w:p>
    <w:p w:rsidR="00800BE7" w:rsidRDefault="00800BE7">
      <w:pPr>
        <w:widowControl/>
        <w:jc w:val="both"/>
      </w:pPr>
    </w:p>
    <w:p w:rsidR="00800BE7" w:rsidRDefault="00800BE7">
      <w:pPr>
        <w:widowControl/>
        <w:ind w:firstLine="1440"/>
        <w:jc w:val="both"/>
      </w:pPr>
      <w:r>
        <w:rPr>
          <w:b/>
          <w:bCs/>
        </w:rPr>
        <w:t>7.1.12</w:t>
      </w:r>
      <w:r>
        <w:t xml:space="preserve">  The general partner may incur any reasonable expense for travel, telephone, telegraph, insurance, taxes, and such other things, in carrying on the partnership's business;</w:t>
      </w:r>
    </w:p>
    <w:p w:rsidR="00800BE7" w:rsidRDefault="00800BE7">
      <w:pPr>
        <w:widowControl/>
        <w:jc w:val="both"/>
      </w:pPr>
    </w:p>
    <w:p w:rsidR="00800BE7" w:rsidRDefault="00800BE7">
      <w:pPr>
        <w:widowControl/>
        <w:ind w:firstLine="1440"/>
        <w:jc w:val="both"/>
      </w:pPr>
      <w:r>
        <w:rPr>
          <w:b/>
          <w:bCs/>
        </w:rPr>
        <w:t>7.1.13</w:t>
      </w:r>
      <w:r>
        <w:t xml:space="preserve">  The general partner may sue and be sued, complain and defend in the partnership's name and on its behalf; and</w:t>
      </w:r>
    </w:p>
    <w:p w:rsidR="00800BE7" w:rsidRDefault="00800BE7">
      <w:pPr>
        <w:widowControl/>
        <w:jc w:val="both"/>
      </w:pPr>
    </w:p>
    <w:p w:rsidR="00800BE7" w:rsidRDefault="00800BE7">
      <w:pPr>
        <w:widowControl/>
        <w:ind w:firstLine="1440"/>
        <w:jc w:val="both"/>
      </w:pPr>
      <w:r>
        <w:rPr>
          <w:b/>
          <w:bCs/>
        </w:rPr>
        <w:t>7.1.14</w:t>
      </w:r>
      <w:r>
        <w:t xml:space="preserve">  The general partner may quitclaim, release, or abandon any partnership assets with or without consideration.</w:t>
      </w:r>
    </w:p>
    <w:p w:rsidR="00800BE7" w:rsidRDefault="00800BE7">
      <w:pPr>
        <w:widowControl/>
        <w:jc w:val="both"/>
      </w:pPr>
    </w:p>
    <w:p w:rsidR="00800BE7" w:rsidRDefault="00800BE7">
      <w:pPr>
        <w:widowControl/>
        <w:ind w:firstLine="720"/>
        <w:jc w:val="both"/>
      </w:pPr>
      <w:r>
        <w:rPr>
          <w:b/>
          <w:bCs/>
        </w:rPr>
        <w:t>7.2  Multiple General Partners.</w:t>
      </w:r>
      <w:r>
        <w:t xml:space="preserve">  Multiple general partners shall act by unanimous agreement.</w:t>
      </w:r>
    </w:p>
    <w:p w:rsidR="00800BE7" w:rsidRDefault="00800BE7">
      <w:pPr>
        <w:widowControl/>
        <w:jc w:val="both"/>
      </w:pPr>
    </w:p>
    <w:p w:rsidR="00800BE7" w:rsidRDefault="00800BE7">
      <w:pPr>
        <w:widowControl/>
        <w:ind w:firstLine="720"/>
        <w:jc w:val="both"/>
      </w:pPr>
      <w:r>
        <w:rPr>
          <w:b/>
          <w:bCs/>
        </w:rPr>
        <w:t>7.3  Compensation and Expenses.</w:t>
      </w:r>
      <w:r>
        <w:t xml:space="preserve">  Each general partner shall receive reasonable compensation for management of the partnership, and all reasonable expenses incurred by the general partner in managing and conducting the partnership's business, including (but not limited to) overhead, administrative and travel expenses, and such professional, technical, and other services, shall be reimbursed by the partnership.</w:t>
      </w:r>
    </w:p>
    <w:p w:rsidR="00800BE7" w:rsidRDefault="00800BE7">
      <w:pPr>
        <w:widowControl/>
        <w:jc w:val="both"/>
      </w:pPr>
    </w:p>
    <w:p w:rsidR="00800BE7" w:rsidRDefault="00800BE7">
      <w:pPr>
        <w:widowControl/>
        <w:ind w:firstLine="720"/>
        <w:jc w:val="both"/>
      </w:pPr>
      <w:r>
        <w:rPr>
          <w:b/>
          <w:bCs/>
        </w:rPr>
        <w:t>7.4  Limited Partners.</w:t>
      </w:r>
      <w:r>
        <w:t xml:space="preserve">  A limited partner (other than one who is also a general partner) shall take no part in the management of the partnership, except to the extent expressly provided by applicable state law.</w:t>
      </w:r>
    </w:p>
    <w:p w:rsidR="00800BE7" w:rsidRDefault="00800BE7">
      <w:pPr>
        <w:widowControl/>
        <w:jc w:val="both"/>
      </w:pPr>
    </w:p>
    <w:p w:rsidR="00800BE7" w:rsidRDefault="00800BE7">
      <w:pPr>
        <w:widowControl/>
        <w:ind w:firstLine="720"/>
        <w:jc w:val="both"/>
      </w:pPr>
      <w:r>
        <w:rPr>
          <w:b/>
          <w:bCs/>
        </w:rPr>
        <w:t>7.5  Tax Matters Partner.</w:t>
      </w:r>
      <w:r>
        <w:t xml:space="preserve">  *GeneralPartner* shall be the tax matters partner and, as such, shall be solely responsible for representing the partnership in all dealings with the U.S. Internal Revenue Service and any state, local, and any foreign tax authorities. The tax matters partner shall keep the other partners reasonably informed of any partnership dealings with any tax agency.</w:t>
      </w:r>
    </w:p>
    <w:p w:rsidR="00800BE7" w:rsidRDefault="00800BE7">
      <w:pPr>
        <w:widowControl/>
        <w:jc w:val="both"/>
      </w:pPr>
    </w:p>
    <w:p w:rsidR="00800BE7" w:rsidRDefault="00800BE7">
      <w:pPr>
        <w:keepNext/>
        <w:keepLines/>
        <w:widowControl/>
        <w:tabs>
          <w:tab w:val="center" w:pos="4682"/>
        </w:tabs>
        <w:jc w:val="both"/>
      </w:pPr>
      <w:r>
        <w:lastRenderedPageBreak/>
        <w:tab/>
      </w:r>
      <w:r>
        <w:rPr>
          <w:b/>
          <w:bCs/>
        </w:rPr>
        <w:t>Section 8.  Financial statements</w:t>
      </w:r>
    </w:p>
    <w:p w:rsidR="00800BE7" w:rsidRDefault="00800BE7">
      <w:pPr>
        <w:keepNext/>
        <w:keepLines/>
        <w:widowControl/>
        <w:jc w:val="both"/>
      </w:pPr>
    </w:p>
    <w:p w:rsidR="00800BE7" w:rsidRDefault="00800BE7">
      <w:pPr>
        <w:keepNext/>
        <w:keepLines/>
        <w:widowControl/>
        <w:jc w:val="both"/>
        <w:sectPr w:rsidR="00800BE7">
          <w:type w:val="continuous"/>
          <w:pgSz w:w="12240" w:h="15840"/>
          <w:pgMar w:top="1440" w:right="1440" w:bottom="1440" w:left="1435" w:header="1440" w:footer="1440" w:gutter="0"/>
          <w:cols w:space="720"/>
          <w:noEndnote/>
        </w:sectPr>
      </w:pPr>
    </w:p>
    <w:p w:rsidR="00800BE7" w:rsidRDefault="00800BE7">
      <w:pPr>
        <w:keepLines/>
        <w:widowControl/>
        <w:ind w:firstLine="720"/>
        <w:jc w:val="both"/>
      </w:pPr>
      <w:r>
        <w:lastRenderedPageBreak/>
        <w:t>Within a reasonable period after the close of each fiscal year, the general partner shall, at the partnership's expense, give a written report to each partner who requests it, indicating that partner's share of the partnership income or loss and any changes in that partner's capital account. This requirement may be satisfied by giving each partner a copy of any tax form which includes such information.</w:t>
      </w:r>
    </w:p>
    <w:p w:rsidR="00800BE7" w:rsidRDefault="00800BE7">
      <w:pPr>
        <w:widowControl/>
        <w:jc w:val="both"/>
      </w:pPr>
    </w:p>
    <w:p w:rsidR="00800BE7" w:rsidRDefault="00800BE7">
      <w:pPr>
        <w:widowControl/>
        <w:tabs>
          <w:tab w:val="center" w:pos="4682"/>
        </w:tabs>
        <w:jc w:val="both"/>
      </w:pPr>
      <w:r>
        <w:tab/>
      </w:r>
      <w:r>
        <w:rPr>
          <w:b/>
          <w:bCs/>
        </w:rPr>
        <w:t>Section 9.  Banking</w:t>
      </w:r>
    </w:p>
    <w:p w:rsidR="00800BE7" w:rsidRDefault="00800BE7">
      <w:pPr>
        <w:widowControl/>
        <w:jc w:val="both"/>
      </w:pPr>
    </w:p>
    <w:p w:rsidR="00800BE7" w:rsidRDefault="00800BE7">
      <w:pPr>
        <w:widowControl/>
        <w:ind w:firstLine="720"/>
        <w:jc w:val="both"/>
      </w:pPr>
      <w:r>
        <w:t>All partnership funds shall be deposited in the partnership's name in such accounts as the general partner may designate. The general partner may authorize other persons to draw checks on partnership bank accounts, but such authority must be in writing. Each bank in which a partnership account is maintained is relieved of any responsibility to inquire into a partner's authority to deal with such funds, and is absolved of all liability with respect to withdrawals from such partnership accounts by any person duly authorized by the general partner.</w:t>
      </w:r>
    </w:p>
    <w:p w:rsidR="00800BE7" w:rsidRDefault="00800BE7">
      <w:pPr>
        <w:widowControl/>
        <w:jc w:val="both"/>
      </w:pPr>
    </w:p>
    <w:p w:rsidR="00800BE7" w:rsidRDefault="00800BE7">
      <w:pPr>
        <w:widowControl/>
        <w:tabs>
          <w:tab w:val="center" w:pos="4682"/>
        </w:tabs>
        <w:jc w:val="both"/>
      </w:pPr>
      <w:r>
        <w:tab/>
      </w:r>
      <w:r>
        <w:rPr>
          <w:b/>
          <w:bCs/>
        </w:rPr>
        <w:t>Section 10.  Admission, Expulsion, and Transferees</w:t>
      </w:r>
    </w:p>
    <w:p w:rsidR="00800BE7" w:rsidRDefault="00800BE7">
      <w:pPr>
        <w:widowControl/>
        <w:jc w:val="both"/>
      </w:pPr>
    </w:p>
    <w:p w:rsidR="00800BE7" w:rsidRDefault="00800BE7">
      <w:pPr>
        <w:widowControl/>
        <w:ind w:firstLine="720"/>
        <w:jc w:val="both"/>
      </w:pPr>
      <w:r>
        <w:rPr>
          <w:b/>
          <w:bCs/>
        </w:rPr>
        <w:t>10.1  Admission.</w:t>
      </w:r>
      <w:r>
        <w:t xml:space="preserve">  A person may be admitted as an additional partner by the unanimous vote of the other partners, and the new partner's consent in writing to be bound by the agreement.</w:t>
      </w:r>
    </w:p>
    <w:p w:rsidR="00800BE7" w:rsidRDefault="00800BE7">
      <w:pPr>
        <w:widowControl/>
        <w:jc w:val="both"/>
      </w:pPr>
    </w:p>
    <w:p w:rsidR="00800BE7" w:rsidRDefault="00800BE7">
      <w:pPr>
        <w:widowControl/>
        <w:ind w:firstLine="720"/>
        <w:jc w:val="both"/>
      </w:pPr>
      <w:r>
        <w:rPr>
          <w:b/>
          <w:bCs/>
        </w:rPr>
        <w:t>10.2  Expulsion.</w:t>
      </w:r>
      <w:r>
        <w:t xml:space="preserve">  Any partner may be expelled from the partnership on the unanimous decision of the other partners.  The partnership must pay an expelled partner an amount equal to the fair market value of his, her, or its partnership interest. The fair market value of an expelled partner's partnership interest shall be determined by an independent appraisal performed by a professional appraiser selected by the partnership whose decision in this matter shall be conclusive.</w:t>
      </w:r>
    </w:p>
    <w:p w:rsidR="00800BE7" w:rsidRDefault="00800BE7">
      <w:pPr>
        <w:widowControl/>
        <w:jc w:val="both"/>
      </w:pPr>
    </w:p>
    <w:p w:rsidR="00800BE7" w:rsidRDefault="00800BE7">
      <w:pPr>
        <w:widowControl/>
        <w:ind w:firstLine="720"/>
        <w:jc w:val="both"/>
      </w:pPr>
      <w:r>
        <w:rPr>
          <w:b/>
          <w:bCs/>
        </w:rPr>
        <w:t>10.3  Transferable Interest.</w:t>
      </w:r>
      <w:r>
        <w:t xml:space="preserve">  A partner’s only transferable interest in the partnership is his, her, or its share of the profits and losses of the partnership and his, her, or its right to receive distributions.</w:t>
      </w:r>
    </w:p>
    <w:p w:rsidR="00800BE7" w:rsidRDefault="00800BE7">
      <w:pPr>
        <w:widowControl/>
        <w:jc w:val="both"/>
      </w:pPr>
    </w:p>
    <w:p w:rsidR="00800BE7" w:rsidRDefault="00800BE7">
      <w:pPr>
        <w:widowControl/>
        <w:ind w:firstLine="1440"/>
        <w:jc w:val="both"/>
      </w:pPr>
      <w:r>
        <w:rPr>
          <w:b/>
          <w:bCs/>
        </w:rPr>
        <w:t>10.3.1</w:t>
      </w:r>
      <w:r>
        <w:t xml:space="preserve">  A partner’s transfer (defined below) of his, her, or its transferable interest in the partnership shall not, by itself, cause the partner's dissociation or a dissolution of the partnership.</w:t>
      </w:r>
    </w:p>
    <w:p w:rsidR="00800BE7" w:rsidRDefault="00800BE7">
      <w:pPr>
        <w:widowControl/>
        <w:jc w:val="both"/>
      </w:pPr>
    </w:p>
    <w:p w:rsidR="00800BE7" w:rsidRDefault="00800BE7">
      <w:pPr>
        <w:widowControl/>
        <w:ind w:firstLine="1440"/>
        <w:jc w:val="both"/>
      </w:pPr>
      <w:r>
        <w:rPr>
          <w:b/>
          <w:bCs/>
        </w:rPr>
        <w:t>10.3.2</w:t>
      </w:r>
      <w:r>
        <w:t xml:space="preserve">  A person to whom a partner attempts to transfer his, her, or its partnership interest, and to whom a partner does transfer his, her, or its transferable interest in the partnership, shall not become a partner unless admitted into the partnership pursuant to Section 10.1. A transferee of a partner’s transferable interest in the partnership shall not be entitled to participate in the management or conduct of the partnership </w:t>
      </w:r>
      <w:r>
        <w:lastRenderedPageBreak/>
        <w:t>business, to require access to information concerning partnership transactions, or to inspect or copy the partnership books or records, unless admitted into the partnership pursuant to Section 10.1.</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keepNext/>
        <w:keepLines/>
        <w:widowControl/>
        <w:tabs>
          <w:tab w:val="center" w:pos="4682"/>
        </w:tabs>
        <w:jc w:val="both"/>
      </w:pPr>
      <w:r>
        <w:lastRenderedPageBreak/>
        <w:tab/>
      </w:r>
      <w:r>
        <w:rPr>
          <w:b/>
          <w:bCs/>
        </w:rPr>
        <w:t>Section 11.  Transfer of Partnership Interests</w:t>
      </w:r>
    </w:p>
    <w:p w:rsidR="00800BE7" w:rsidRDefault="00800BE7">
      <w:pPr>
        <w:keepNext/>
        <w:keepLines/>
        <w:widowControl/>
        <w:jc w:val="both"/>
      </w:pPr>
    </w:p>
    <w:p w:rsidR="00800BE7" w:rsidRDefault="00800BE7">
      <w:pPr>
        <w:keepLines/>
        <w:widowControl/>
        <w:ind w:firstLine="720"/>
        <w:jc w:val="both"/>
        <w:rPr>
          <w:b/>
          <w:bCs/>
        </w:rPr>
      </w:pPr>
      <w:r>
        <w:t>A partner shall not transfer any of his, her, or its transferable interest in the partnership except in accordance with the terms of this Section 11. An attempted transfer of any transferable interest in the partnership not in accordance with the terms of this Section11 shall not be valid and shall not be reflected on the partnership's books.</w:t>
      </w:r>
    </w:p>
    <w:p w:rsidR="00800BE7" w:rsidRDefault="00800BE7">
      <w:pPr>
        <w:widowControl/>
        <w:jc w:val="both"/>
        <w:rPr>
          <w:b/>
          <w:bCs/>
        </w:rPr>
      </w:pPr>
    </w:p>
    <w:p w:rsidR="00800BE7" w:rsidRDefault="00800BE7">
      <w:pPr>
        <w:widowControl/>
        <w:tabs>
          <w:tab w:val="left" w:pos="-1440"/>
        </w:tabs>
        <w:ind w:left="2160" w:hanging="1440"/>
        <w:jc w:val="both"/>
        <w:rPr>
          <w:b/>
          <w:bCs/>
        </w:rPr>
      </w:pPr>
      <w:r>
        <w:rPr>
          <w:b/>
          <w:bCs/>
        </w:rPr>
        <w:t>11.1  Right of First Refusal.</w:t>
      </w:r>
      <w:r>
        <w:t xml:space="preserve">  A partner who wishes to transfer any transferable interest in the partnership, or who has reason to believe that an involuntary transfer (defined below) or a transfer by operation of law is reasonably foreseeable (an offering partner), shall first give each other partner written notice of the intent to transfer such transferable interest in the partnership (the offered interest) or of the knowledge that an involuntary transfer or transfer by operation of law is reasonably foreseeable. This notice must contain a description of the portion of interest in the partnership to be transferred, the consideration (if any) to be paid, the terms of transfer and of the payment of consideration (including, but not limited to, the relative percentages of cash and debt, and the terms of any debt instruments), and the name, address (both home and office), and business or occupation of the person to whom the transferable interest in the partnership would be transferred, and any other facts that are or would reasonably be deemed material to the proposed transfer.</w:t>
      </w:r>
      <w:r>
        <w:rPr>
          <w:b/>
          <w:bCs/>
        </w:rPr>
        <w:tab/>
      </w:r>
    </w:p>
    <w:p w:rsidR="00800BE7" w:rsidRDefault="00800BE7">
      <w:pPr>
        <w:widowControl/>
        <w:jc w:val="both"/>
        <w:rPr>
          <w:b/>
          <w:bCs/>
        </w:rPr>
      </w:pPr>
    </w:p>
    <w:p w:rsidR="00800BE7" w:rsidRDefault="00800BE7">
      <w:pPr>
        <w:widowControl/>
        <w:ind w:firstLine="1440"/>
        <w:jc w:val="both"/>
      </w:pPr>
      <w:r>
        <w:rPr>
          <w:b/>
          <w:bCs/>
        </w:rPr>
        <w:t xml:space="preserve">11.1.1 </w:t>
      </w:r>
      <w:r>
        <w:t xml:space="preserve"> Upon the receipt of such notice, each other partner shall have a right to buy that share of the offered interest having the same proportion to all of the offering partner's partnership interest as the buying partner's partnership interest bears to the partnership interests of all partners (except the offering partner).</w:t>
      </w:r>
    </w:p>
    <w:p w:rsidR="00800BE7" w:rsidRDefault="00800BE7">
      <w:pPr>
        <w:widowControl/>
        <w:jc w:val="both"/>
      </w:pPr>
    </w:p>
    <w:p w:rsidR="00800BE7" w:rsidRDefault="00800BE7">
      <w:pPr>
        <w:widowControl/>
        <w:ind w:firstLine="1440"/>
        <w:jc w:val="both"/>
      </w:pPr>
      <w:r>
        <w:rPr>
          <w:b/>
          <w:bCs/>
        </w:rPr>
        <w:t>11.1.2</w:t>
      </w:r>
      <w:r>
        <w:t xml:space="preserve">  Each partner may exercise this purchase option by giving the offering partner written notice within thirty (30) days after receipt of the latter's notice.</w:t>
      </w:r>
    </w:p>
    <w:p w:rsidR="00800BE7" w:rsidRDefault="00800BE7">
      <w:pPr>
        <w:widowControl/>
        <w:jc w:val="both"/>
      </w:pPr>
    </w:p>
    <w:p w:rsidR="00800BE7" w:rsidRDefault="00800BE7">
      <w:pPr>
        <w:widowControl/>
        <w:ind w:firstLine="1440"/>
        <w:jc w:val="both"/>
      </w:pPr>
      <w:r>
        <w:rPr>
          <w:b/>
          <w:bCs/>
        </w:rPr>
        <w:t>11.1.3</w:t>
      </w:r>
      <w:r>
        <w:t xml:space="preserve">  If the partners do not agree to buy all of the offered interest, the offering partner may complete the intended transfer. If this transfer is not completed within thirty (30) days after expiration of the option period, any attempted transfer shall be deemed pursuant to a new offer and this Section 11 shall again apply.</w:t>
      </w:r>
    </w:p>
    <w:p w:rsidR="00800BE7" w:rsidRDefault="00800BE7">
      <w:pPr>
        <w:widowControl/>
        <w:jc w:val="both"/>
      </w:pPr>
    </w:p>
    <w:p w:rsidR="00800BE7" w:rsidRDefault="00800BE7">
      <w:pPr>
        <w:widowControl/>
        <w:ind w:firstLine="720"/>
        <w:jc w:val="both"/>
      </w:pPr>
      <w:r>
        <w:rPr>
          <w:b/>
          <w:bCs/>
        </w:rPr>
        <w:t>11.2  Purchase Price.</w:t>
      </w:r>
      <w:r>
        <w:t xml:space="preserve">  The purchase price that the partners must pay for the offered interest under this Section 11 shall be the same as those of any proposed transfer </w:t>
      </w:r>
      <w:r>
        <w:lastRenderedPageBreak/>
        <w:t>if the proposed transfer for which notice was given is to be made for any valuable consideration in money or money's worth of property.  Otherwise, the purchase price that the partners must pay for the offered interest under this Section 11 shall be the fair market value of the offered interest.  The fair market value of a partnership interest shall be determined by an independent appraisal performed by a professional appraiser, selected by the general partner, whose decision in this matter shall be conclusive.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11.3  Purchase Terms.</w:t>
      </w:r>
      <w:r>
        <w:t xml:space="preserve">  One quarter (1/4) of the purchase price shall be paid in cash or by good personal check at the closing for the sale of such partnership interest, and the balance shall be paid in twenty (20) equal quarterly principal payments beginning three (3) months after the date of such closing.  Simple interest shall be added to each installment, computed against the outstanding principal balance at the applicable federal rate determined for federal income tax purposes on the date of the closing.  The buyer shall give the offering partner a promissory note as evidence of this debt, and the buyer may prepay all or any part of the principal balance of the note at any time without penalty or premium.</w:t>
      </w:r>
    </w:p>
    <w:p w:rsidR="00800BE7" w:rsidRDefault="00800BE7">
      <w:pPr>
        <w:widowControl/>
        <w:jc w:val="both"/>
      </w:pPr>
    </w:p>
    <w:p w:rsidR="00800BE7" w:rsidRDefault="00800BE7">
      <w:pPr>
        <w:widowControl/>
        <w:ind w:firstLine="720"/>
        <w:jc w:val="both"/>
      </w:pPr>
      <w:r>
        <w:rPr>
          <w:b/>
          <w:bCs/>
        </w:rPr>
        <w:t>11.4  The Closing.</w:t>
      </w:r>
      <w:r>
        <w:t xml:space="preserve">  The purchase of a transferable interest in the partnership under this Section 11 shall take place at a closing to be held not later than the tenth (10th) day after the earlier of the date on which the partners' purchase options have all expired, or the earliest date on which the partners in the aggregate exercise their purchase options, if any, to buy all of the offered interest.  The closing shall be held during normal business hours at the partnership's principal business office, or at any other place to which the parties agree.  If the offering partner is not present at the closing, then the buyer shall deposit the purchase price by check, note, or both, as this Section 11 requires, with any state or federally chartered bank with which the partnership has an account, as escrow agent, to be paid to the offering partner as soon as is reasonably practicable, less an appropriate fee to the partnership (not to exceed one thousand dollars) to cover additional administrative costs, and the partnership shall adjust its books to reflect the transfer of these transferable interest in the partnership.</w:t>
      </w:r>
    </w:p>
    <w:p w:rsidR="00800BE7" w:rsidRDefault="00800BE7">
      <w:pPr>
        <w:widowControl/>
        <w:jc w:val="both"/>
      </w:pPr>
    </w:p>
    <w:p w:rsidR="00800BE7" w:rsidRDefault="00800BE7">
      <w:pPr>
        <w:widowControl/>
        <w:ind w:firstLine="720"/>
        <w:jc w:val="both"/>
      </w:pPr>
      <w:r>
        <w:rPr>
          <w:b/>
          <w:bCs/>
        </w:rPr>
        <w:t>11.5  Condition Precedent to Admission of Substitute Partner.</w:t>
      </w:r>
      <w:r>
        <w:t xml:space="preserve">  No person to whom an interest in the partnership is transferred shall become a new partner in place of the offering partner until:</w:t>
      </w:r>
    </w:p>
    <w:p w:rsidR="00800BE7" w:rsidRDefault="00800BE7">
      <w:pPr>
        <w:widowControl/>
        <w:jc w:val="both"/>
      </w:pPr>
    </w:p>
    <w:p w:rsidR="00800BE7" w:rsidRDefault="00800BE7">
      <w:pPr>
        <w:widowControl/>
        <w:ind w:firstLine="1440"/>
        <w:jc w:val="both"/>
      </w:pPr>
      <w:r>
        <w:rPr>
          <w:b/>
          <w:bCs/>
        </w:rPr>
        <w:t xml:space="preserve">11.5.1 </w:t>
      </w:r>
      <w:r>
        <w:t xml:space="preserve"> The transferee agrees in writing to assume all of the obligations and undertakings of the offering partner under the agreement;</w:t>
      </w:r>
    </w:p>
    <w:p w:rsidR="00800BE7" w:rsidRDefault="00800BE7">
      <w:pPr>
        <w:widowControl/>
        <w:jc w:val="both"/>
      </w:pPr>
    </w:p>
    <w:p w:rsidR="00800BE7" w:rsidRDefault="00800BE7">
      <w:pPr>
        <w:widowControl/>
        <w:ind w:firstLine="1440"/>
        <w:jc w:val="both"/>
      </w:pPr>
      <w:r>
        <w:rPr>
          <w:b/>
          <w:bCs/>
        </w:rPr>
        <w:t>11.5.2</w:t>
      </w:r>
      <w:r>
        <w:t xml:space="preserve">  The transferee pays the partnership a fee not to exceed one thousand dollars ($1,000.00) to cover the costs of preparing, executing, and recording all pertinent documents; and</w:t>
      </w:r>
    </w:p>
    <w:p w:rsidR="00800BE7" w:rsidRDefault="00800BE7">
      <w:pPr>
        <w:widowControl/>
        <w:jc w:val="both"/>
      </w:pPr>
    </w:p>
    <w:p w:rsidR="00800BE7" w:rsidRDefault="00800BE7">
      <w:pPr>
        <w:widowControl/>
        <w:ind w:firstLine="1440"/>
        <w:jc w:val="both"/>
      </w:pPr>
      <w:r>
        <w:rPr>
          <w:b/>
          <w:bCs/>
        </w:rPr>
        <w:t>11.5.3</w:t>
      </w:r>
      <w:r>
        <w:t xml:space="preserve">  The transferee is elected a partner by a unanimous vote of the other partners.</w:t>
      </w:r>
    </w:p>
    <w:p w:rsidR="00800BE7" w:rsidRDefault="00800BE7">
      <w:pPr>
        <w:widowControl/>
        <w:jc w:val="both"/>
      </w:pPr>
    </w:p>
    <w:p w:rsidR="00800BE7" w:rsidRDefault="00800BE7">
      <w:pPr>
        <w:widowControl/>
        <w:tabs>
          <w:tab w:val="center" w:pos="4682"/>
        </w:tabs>
        <w:jc w:val="both"/>
      </w:pPr>
      <w:r>
        <w:rPr>
          <w:b/>
          <w:bCs/>
        </w:rPr>
        <w:tab/>
        <w:t>Section 12. Dissociation</w:t>
      </w:r>
    </w:p>
    <w:p w:rsidR="00800BE7" w:rsidRDefault="00800BE7">
      <w:pPr>
        <w:widowControl/>
        <w:jc w:val="both"/>
      </w:pPr>
    </w:p>
    <w:p w:rsidR="00800BE7" w:rsidRDefault="00800BE7">
      <w:pPr>
        <w:widowControl/>
        <w:ind w:firstLine="720"/>
        <w:jc w:val="both"/>
      </w:pPr>
      <w:r>
        <w:rPr>
          <w:b/>
          <w:bCs/>
        </w:rPr>
        <w:t xml:space="preserve">12.1  Dissociation as Limited Partner.  </w:t>
      </w:r>
      <w:r>
        <w:t>A limited partner who dissociates from the partnership shall have no further rights as a limited partner, and shall own his, her, or its interest as a transferee, and not as a partner.</w:t>
      </w:r>
    </w:p>
    <w:p w:rsidR="00800BE7" w:rsidRDefault="00800BE7">
      <w:pPr>
        <w:widowControl/>
        <w:jc w:val="both"/>
      </w:pPr>
    </w:p>
    <w:p w:rsidR="00800BE7" w:rsidRDefault="00800BE7">
      <w:pPr>
        <w:widowControl/>
        <w:ind w:firstLine="720"/>
        <w:jc w:val="both"/>
      </w:pPr>
      <w:r>
        <w:rPr>
          <w:b/>
          <w:bCs/>
        </w:rPr>
        <w:t xml:space="preserve">12.2  Dissociation Events.  </w:t>
      </w:r>
      <w:r>
        <w:t>A general or limited partner shall be dissociated from the partnership if any of the following events shall occur.</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12.2.1</w:t>
      </w:r>
      <w:r>
        <w:t xml:space="preserve">  The partner notifies the partnership of his, her, or its intention to withdraw as a partner.</w:t>
      </w:r>
    </w:p>
    <w:p w:rsidR="00800BE7" w:rsidRDefault="00800BE7">
      <w:pPr>
        <w:widowControl/>
        <w:jc w:val="both"/>
      </w:pPr>
    </w:p>
    <w:p w:rsidR="00800BE7" w:rsidRDefault="00800BE7">
      <w:pPr>
        <w:widowControl/>
        <w:ind w:firstLine="1440"/>
        <w:jc w:val="both"/>
      </w:pPr>
      <w:r>
        <w:rPr>
          <w:b/>
          <w:bCs/>
        </w:rPr>
        <w:t>12.2.2</w:t>
      </w:r>
      <w:r>
        <w:t xml:space="preserve">  The partner is expelled from the partnership.</w:t>
      </w:r>
    </w:p>
    <w:p w:rsidR="00800BE7" w:rsidRDefault="00800BE7">
      <w:pPr>
        <w:widowControl/>
        <w:jc w:val="both"/>
      </w:pPr>
    </w:p>
    <w:p w:rsidR="00800BE7" w:rsidRDefault="00800BE7">
      <w:pPr>
        <w:widowControl/>
        <w:ind w:firstLine="1440"/>
        <w:jc w:val="both"/>
      </w:pPr>
      <w:r>
        <w:rPr>
          <w:b/>
          <w:bCs/>
        </w:rPr>
        <w:t>12.2.3</w:t>
      </w:r>
      <w:r>
        <w:t xml:space="preserve">  The partner, if a trust or if acting as a partner by virtue of being a trustee of a trust, distributes the trust's entire transferable interest in the partnership.</w:t>
      </w:r>
    </w:p>
    <w:p w:rsidR="00800BE7" w:rsidRDefault="00800BE7">
      <w:pPr>
        <w:widowControl/>
        <w:jc w:val="both"/>
      </w:pPr>
    </w:p>
    <w:p w:rsidR="00800BE7" w:rsidRDefault="00800BE7">
      <w:pPr>
        <w:widowControl/>
        <w:ind w:firstLine="1440"/>
        <w:jc w:val="both"/>
      </w:pPr>
      <w:r>
        <w:rPr>
          <w:b/>
          <w:bCs/>
        </w:rPr>
        <w:t>12.2.4</w:t>
      </w:r>
      <w:r>
        <w:t xml:space="preserve">  The partner, if an estate or if acting as a partner by virtue of being a personal representative of an estate, distributes the estate's entire transferable interest in the partnership.</w:t>
      </w:r>
    </w:p>
    <w:p w:rsidR="00800BE7" w:rsidRDefault="00800BE7">
      <w:pPr>
        <w:widowControl/>
        <w:jc w:val="both"/>
      </w:pPr>
    </w:p>
    <w:p w:rsidR="00800BE7" w:rsidRDefault="00800BE7">
      <w:pPr>
        <w:widowControl/>
        <w:ind w:firstLine="1440"/>
        <w:jc w:val="both"/>
      </w:pPr>
      <w:r>
        <w:rPr>
          <w:b/>
          <w:bCs/>
        </w:rPr>
        <w:t>12.2.5</w:t>
      </w:r>
      <w:r>
        <w:t xml:space="preserve">  The partner’s termination, if the partner is not an individual, partnership, corporation, trust, or estate.</w:t>
      </w:r>
    </w:p>
    <w:p w:rsidR="00800BE7" w:rsidRDefault="00800BE7">
      <w:pPr>
        <w:widowControl/>
        <w:jc w:val="both"/>
      </w:pPr>
    </w:p>
    <w:p w:rsidR="00800BE7" w:rsidRDefault="00800BE7">
      <w:pPr>
        <w:widowControl/>
        <w:ind w:firstLine="720"/>
        <w:jc w:val="both"/>
      </w:pPr>
      <w:r>
        <w:rPr>
          <w:b/>
          <w:bCs/>
        </w:rPr>
        <w:t>12.3  Dissociation by a General Partner.</w:t>
      </w:r>
      <w:r>
        <w:t xml:space="preserve">  A general partner may dissociate as a general partner at any time, rightfully or wrongfully.</w:t>
      </w:r>
    </w:p>
    <w:p w:rsidR="00800BE7" w:rsidRDefault="00800BE7">
      <w:pPr>
        <w:widowControl/>
        <w:jc w:val="both"/>
      </w:pPr>
    </w:p>
    <w:p w:rsidR="00800BE7" w:rsidRDefault="00800BE7">
      <w:pPr>
        <w:widowControl/>
        <w:ind w:firstLine="1440"/>
        <w:jc w:val="both"/>
      </w:pPr>
      <w:r>
        <w:rPr>
          <w:b/>
          <w:bCs/>
        </w:rPr>
        <w:t>12.3.1</w:t>
      </w:r>
      <w:r>
        <w:t xml:space="preserve">  A general partner who dissociates from the partnership shall have no right to participate as a general partner in the management and conduct of the partnership’s activities and shall own his, her, or its interest as a transferee, and not as a partner.</w:t>
      </w:r>
    </w:p>
    <w:p w:rsidR="00800BE7" w:rsidRDefault="00800BE7">
      <w:pPr>
        <w:widowControl/>
        <w:jc w:val="both"/>
      </w:pPr>
    </w:p>
    <w:p w:rsidR="00800BE7" w:rsidRDefault="00800BE7">
      <w:pPr>
        <w:widowControl/>
        <w:ind w:firstLine="1440"/>
        <w:jc w:val="both"/>
      </w:pPr>
      <w:r>
        <w:rPr>
          <w:b/>
          <w:bCs/>
        </w:rPr>
        <w:t>12.3.2</w:t>
      </w:r>
      <w:r>
        <w:t xml:space="preserve">  In addition to the provisions of Section 12.2, a general partner also dissociates from the partnership if:</w:t>
      </w:r>
    </w:p>
    <w:p w:rsidR="00800BE7" w:rsidRDefault="00800BE7">
      <w:pPr>
        <w:widowControl/>
        <w:jc w:val="both"/>
      </w:pPr>
    </w:p>
    <w:p w:rsidR="00800BE7" w:rsidRDefault="00800BE7">
      <w:pPr>
        <w:widowControl/>
        <w:ind w:firstLine="2160"/>
        <w:jc w:val="both"/>
      </w:pPr>
      <w:r>
        <w:rPr>
          <w:b/>
          <w:bCs/>
        </w:rPr>
        <w:t>(A)</w:t>
      </w:r>
      <w:r>
        <w:t xml:space="preserve">  The partner dies, has appointed a guardian or general conserva</w:t>
      </w:r>
      <w:r>
        <w:softHyphen/>
        <w:t>tor, or is the subject of a judicial determination that the partner has otherwise become incapable of performing the partner's duties under the partnership agreement.</w:t>
      </w:r>
    </w:p>
    <w:p w:rsidR="00800BE7" w:rsidRDefault="00800BE7">
      <w:pPr>
        <w:widowControl/>
        <w:jc w:val="both"/>
      </w:pPr>
    </w:p>
    <w:p w:rsidR="00800BE7" w:rsidRDefault="00800BE7">
      <w:pPr>
        <w:widowControl/>
        <w:ind w:firstLine="2160"/>
        <w:jc w:val="both"/>
      </w:pPr>
      <w:r>
        <w:rPr>
          <w:b/>
          <w:bCs/>
        </w:rPr>
        <w:t>(B)</w:t>
      </w:r>
      <w:r>
        <w:t xml:space="preserve">  The partner becomes a debtor in bankruptcy, executes an assignment for the benefit of creditors, seeks, consents to, or acquiesces in the appointment of a trustee, receiver, or liquidator of that partner or of all or substantially all of that partner's property.</w:t>
      </w:r>
    </w:p>
    <w:p w:rsidR="00800BE7" w:rsidRDefault="00800BE7">
      <w:pPr>
        <w:widowControl/>
        <w:jc w:val="both"/>
      </w:pPr>
    </w:p>
    <w:p w:rsidR="00800BE7" w:rsidRDefault="00800BE7">
      <w:pPr>
        <w:widowControl/>
        <w:ind w:firstLine="2160"/>
        <w:jc w:val="both"/>
      </w:pPr>
      <w:r>
        <w:rPr>
          <w:b/>
          <w:bCs/>
        </w:rPr>
        <w:t>(C)</w:t>
      </w:r>
      <w:r>
        <w:t xml:space="preserve">  The partner fails, within ninety (90) days after the appointment, to have vacated or stayed the appointment of a trustee, receiver, or liquidator of the partner or of all or substantially all of the partner's property obtained without the partner's consent or acquiescence, or fails within ninety (90) days after the expiration of a stay to have the appointment vacated.</w:t>
      </w:r>
    </w:p>
    <w:p w:rsidR="00800BE7" w:rsidRDefault="00800BE7">
      <w:pPr>
        <w:widowControl/>
        <w:jc w:val="both"/>
      </w:pPr>
    </w:p>
    <w:p w:rsidR="00800BE7" w:rsidRDefault="00800BE7">
      <w:pPr>
        <w:widowControl/>
        <w:ind w:firstLine="720"/>
        <w:jc w:val="both"/>
      </w:pPr>
      <w:r>
        <w:rPr>
          <w:b/>
          <w:bCs/>
        </w:rPr>
        <w:t>12.3  Wrongful Dissociation.</w:t>
      </w:r>
    </w:p>
    <w:p w:rsidR="00800BE7" w:rsidRDefault="00800BE7">
      <w:pPr>
        <w:widowControl/>
        <w:jc w:val="both"/>
      </w:pPr>
    </w:p>
    <w:p w:rsidR="00800BE7" w:rsidRDefault="00800BE7">
      <w:pPr>
        <w:widowControl/>
        <w:ind w:firstLine="1440"/>
        <w:jc w:val="both"/>
      </w:pPr>
      <w:r>
        <w:rPr>
          <w:b/>
          <w:bCs/>
        </w:rPr>
        <w:t>12.3.1</w:t>
      </w:r>
      <w:r>
        <w:t xml:space="preserve">  A limited partner’s dissociation from the partnership before December 31, 2050, or such earlier date as the partnership shall otherwise terminate, shall be a wrongful dissociation.</w:t>
      </w:r>
    </w:p>
    <w:p w:rsidR="00800BE7" w:rsidRDefault="00800BE7">
      <w:pPr>
        <w:widowControl/>
        <w:ind w:firstLine="1440"/>
        <w:jc w:val="both"/>
        <w:sectPr w:rsidR="00800BE7">
          <w:type w:val="continuous"/>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12.3.2</w:t>
      </w:r>
      <w:r>
        <w:t xml:space="preserve">  A general partner's dissociation is wrongful if it occurs before December 31, 2050, or such earlier date as the partners shall elect to terminate the partnership, and the general partner dissociates by voluntary withdrawal, by expulsion by judicial order, or pursuant to Sections 12.3.2 or 12.3.3, or 12.2.5.</w:t>
      </w:r>
    </w:p>
    <w:p w:rsidR="00800BE7" w:rsidRDefault="00800BE7">
      <w:pPr>
        <w:widowControl/>
        <w:jc w:val="both"/>
      </w:pPr>
    </w:p>
    <w:p w:rsidR="00800BE7" w:rsidRDefault="00800BE7">
      <w:pPr>
        <w:widowControl/>
        <w:ind w:firstLine="1440"/>
        <w:jc w:val="both"/>
      </w:pPr>
      <w:r>
        <w:rPr>
          <w:b/>
          <w:bCs/>
        </w:rPr>
        <w:t>12.3.2</w:t>
      </w:r>
      <w:r>
        <w:t xml:space="preserve">  A partner who wrongfully dissociates is liable to the partnership and to the other partners for damages caused by the dissociation.  The liability is in addition to any other obligation of the partner to the partnership or to the other partners.</w:t>
      </w:r>
    </w:p>
    <w:p w:rsidR="00800BE7" w:rsidRDefault="00800BE7">
      <w:pPr>
        <w:widowControl/>
        <w:jc w:val="both"/>
      </w:pPr>
    </w:p>
    <w:p w:rsidR="00800BE7" w:rsidRDefault="00800BE7">
      <w:pPr>
        <w:widowControl/>
        <w:tabs>
          <w:tab w:val="center" w:pos="4682"/>
        </w:tabs>
        <w:jc w:val="both"/>
      </w:pPr>
      <w:r>
        <w:tab/>
      </w:r>
      <w:r>
        <w:rPr>
          <w:b/>
          <w:bCs/>
        </w:rPr>
        <w:t>Section 13.  Dissolution</w:t>
      </w:r>
    </w:p>
    <w:p w:rsidR="00800BE7" w:rsidRDefault="00800BE7">
      <w:pPr>
        <w:widowControl/>
        <w:jc w:val="both"/>
      </w:pPr>
    </w:p>
    <w:p w:rsidR="00800BE7" w:rsidRDefault="00800BE7">
      <w:pPr>
        <w:widowControl/>
        <w:ind w:firstLine="720"/>
        <w:jc w:val="both"/>
      </w:pPr>
      <w:r>
        <w:rPr>
          <w:b/>
          <w:bCs/>
        </w:rPr>
        <w:t>13.1  Dissolution.</w:t>
      </w:r>
      <w:r>
        <w:t xml:space="preserve">  The partnership shall be dissolved upon the expiration of its stated term, the written vote of all of the partners, or the happening of any of the following:</w:t>
      </w:r>
    </w:p>
    <w:p w:rsidR="00800BE7" w:rsidRDefault="00800BE7">
      <w:pPr>
        <w:widowControl/>
        <w:jc w:val="both"/>
      </w:pPr>
    </w:p>
    <w:p w:rsidR="00800BE7" w:rsidRDefault="00800BE7">
      <w:pPr>
        <w:widowControl/>
        <w:ind w:firstLine="1440"/>
        <w:jc w:val="both"/>
      </w:pPr>
      <w:r>
        <w:rPr>
          <w:b/>
          <w:bCs/>
        </w:rPr>
        <w:t>13.1.1</w:t>
      </w:r>
      <w:r>
        <w:t xml:space="preserve">  The consent of all of the general partners and of limited partners owning a majority of the rights to receive distributions as limited partners;</w:t>
      </w:r>
    </w:p>
    <w:p w:rsidR="00800BE7" w:rsidRDefault="00800BE7">
      <w:pPr>
        <w:widowControl/>
        <w:jc w:val="both"/>
      </w:pPr>
    </w:p>
    <w:p w:rsidR="00800BE7" w:rsidRDefault="00800BE7">
      <w:pPr>
        <w:widowControl/>
        <w:ind w:firstLine="1440"/>
        <w:jc w:val="both"/>
      </w:pPr>
      <w:r>
        <w:rPr>
          <w:b/>
          <w:bCs/>
        </w:rPr>
        <w:t>13.1.2</w:t>
      </w:r>
      <w:r>
        <w:t xml:space="preserve">  After the dissociation of a person as a general partner, except that if the partnership then has at least one remaining general partner, the partnership shall be dissolved only with the consent of the owners of a majority of the rights to receive distributions at the time the consent is to be effective, such consent to be given within ninety (90) days after the dissociation;</w:t>
      </w:r>
    </w:p>
    <w:p w:rsidR="00800BE7" w:rsidRDefault="00800BE7">
      <w:pPr>
        <w:widowControl/>
        <w:jc w:val="both"/>
      </w:pPr>
    </w:p>
    <w:p w:rsidR="00800BE7" w:rsidRDefault="00800BE7">
      <w:pPr>
        <w:widowControl/>
        <w:ind w:firstLine="1440"/>
        <w:jc w:val="both"/>
      </w:pPr>
      <w:r>
        <w:rPr>
          <w:b/>
          <w:bCs/>
        </w:rPr>
        <w:t>13.1.3</w:t>
      </w:r>
      <w:r>
        <w:t xml:space="preserve">  After the dissociation of a person as a general partner, except that if the partnership then has no remaining general partners, the partnership shall be dissolved unless, within ninety (90) days after the dissociation, the limited partners holding a majority of the rights to receive distributions at the time the consent is to be effective, vote to continue the partnership and to elect a new general partner, and a new general partner is, in fact, admitted;</w:t>
      </w:r>
    </w:p>
    <w:p w:rsidR="00800BE7" w:rsidRDefault="00800BE7">
      <w:pPr>
        <w:widowControl/>
        <w:jc w:val="both"/>
      </w:pPr>
    </w:p>
    <w:p w:rsidR="00800BE7" w:rsidRDefault="00800BE7">
      <w:pPr>
        <w:widowControl/>
        <w:ind w:firstLine="1440"/>
        <w:jc w:val="both"/>
      </w:pPr>
      <w:r>
        <w:rPr>
          <w:b/>
          <w:bCs/>
        </w:rPr>
        <w:lastRenderedPageBreak/>
        <w:t>13.1.4</w:t>
      </w:r>
      <w:r>
        <w:t xml:space="preserve">  Ninety (90) days after the dissociation of the limited partnership’s last limited partner, unless before the end of this period the partnership admits at least one limited partner; or</w:t>
      </w:r>
    </w:p>
    <w:p w:rsidR="00800BE7" w:rsidRDefault="00800BE7">
      <w:pPr>
        <w:widowControl/>
        <w:jc w:val="both"/>
      </w:pPr>
    </w:p>
    <w:p w:rsidR="00800BE7" w:rsidRDefault="00800BE7">
      <w:pPr>
        <w:widowControl/>
        <w:ind w:firstLine="1440"/>
        <w:jc w:val="both"/>
      </w:pPr>
      <w:r>
        <w:rPr>
          <w:b/>
          <w:bCs/>
        </w:rPr>
        <w:t>13.1.5</w:t>
      </w:r>
      <w:r>
        <w:t xml:space="preserve">  The Secretary of State signs a declaration of dissolution.</w:t>
      </w:r>
    </w:p>
    <w:p w:rsidR="00800BE7" w:rsidRDefault="00800BE7">
      <w:pPr>
        <w:widowControl/>
        <w:jc w:val="both"/>
      </w:pPr>
    </w:p>
    <w:p w:rsidR="00800BE7" w:rsidRDefault="00800BE7">
      <w:pPr>
        <w:widowControl/>
        <w:ind w:firstLine="720"/>
        <w:jc w:val="both"/>
        <w:rPr>
          <w:b/>
          <w:bCs/>
        </w:rPr>
      </w:pPr>
      <w:r>
        <w:rPr>
          <w:b/>
          <w:bCs/>
        </w:rPr>
        <w:t>13.2  Upon Dissolution.</w:t>
      </w:r>
      <w:r>
        <w:t xml:space="preserve">  Upon its dissolution, the partnership shall end and commence to wind up its affairs. The partners shall continue to share in profits and losses during liquidation as they did before dissolution. The partnership's assets may be sold, if a price deemed reasonable by the managing general partner can be obtained. The proceeds from liquidation of partnership assets shall be applied as follows:</w:t>
      </w:r>
    </w:p>
    <w:p w:rsidR="00800BE7" w:rsidRDefault="00800BE7">
      <w:pPr>
        <w:widowControl/>
        <w:jc w:val="both"/>
        <w:rPr>
          <w:b/>
          <w:bCs/>
        </w:rPr>
      </w:pPr>
    </w:p>
    <w:p w:rsidR="00800BE7" w:rsidRDefault="00800BE7">
      <w:pPr>
        <w:widowControl/>
        <w:ind w:firstLine="1440"/>
        <w:jc w:val="both"/>
      </w:pPr>
      <w:r>
        <w:rPr>
          <w:b/>
          <w:bCs/>
        </w:rPr>
        <w:t>13.2.1</w:t>
      </w:r>
      <w:r>
        <w:t xml:space="preserve">  First, all of the partnership's debts and liabilities to persons other than partners shall be paid and discharged in the order of priority as provided by law;</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13.2.2</w:t>
      </w:r>
      <w:r>
        <w:t xml:space="preserve">  Second, all debts and liabilities to partners shall be paid and discharged in the order of priority as provided by law;</w:t>
      </w:r>
    </w:p>
    <w:p w:rsidR="00800BE7" w:rsidRDefault="00800BE7">
      <w:pPr>
        <w:widowControl/>
        <w:jc w:val="both"/>
      </w:pPr>
    </w:p>
    <w:p w:rsidR="00800BE7" w:rsidRDefault="00800BE7">
      <w:pPr>
        <w:widowControl/>
        <w:ind w:firstLine="1440"/>
        <w:jc w:val="both"/>
      </w:pPr>
      <w:r>
        <w:rPr>
          <w:b/>
          <w:bCs/>
        </w:rPr>
        <w:t>13.2.3</w:t>
      </w:r>
      <w:r>
        <w:t xml:space="preserve">  Third, all remaining assets shall be distributed proportionately among the partners based on their respective positive capital accounts.</w:t>
      </w:r>
    </w:p>
    <w:p w:rsidR="00800BE7" w:rsidRDefault="00800BE7">
      <w:pPr>
        <w:widowControl/>
        <w:jc w:val="both"/>
      </w:pPr>
    </w:p>
    <w:p w:rsidR="00800BE7" w:rsidRDefault="00800BE7">
      <w:pPr>
        <w:widowControl/>
        <w:ind w:firstLine="720"/>
        <w:jc w:val="both"/>
      </w:pPr>
      <w:r>
        <w:rPr>
          <w:b/>
          <w:bCs/>
        </w:rPr>
        <w:t>13.3  Gain or Loss.</w:t>
      </w:r>
      <w:r>
        <w:t xml:space="preserve">  Any gain or loss on the disposition of partnership properties in the process of liquidation shall be credited or charged to the partners in proportion to their positive capital accounts, except that gain or loss with respect to property contributed to the partnership by a partner shall be shared among the partners so as to take account of any variation between the basis of the property so contributed and its fair market value at the time of contribution, in accordance with any applicable U.S. Treasury regulations. Any property distributed in kind in the liquidation shall be valued and treated as though it were sold and the cash proceeds distributed.  The difference between the value of property distributed in kind and its book value shall be treated as a gain or loss on the sale of property, and shall be credited or charged to the partners accordingly.</w:t>
      </w:r>
    </w:p>
    <w:p w:rsidR="00800BE7" w:rsidRDefault="00800BE7">
      <w:pPr>
        <w:widowControl/>
        <w:jc w:val="both"/>
      </w:pPr>
    </w:p>
    <w:p w:rsidR="00800BE7" w:rsidRDefault="00800BE7">
      <w:pPr>
        <w:widowControl/>
        <w:ind w:firstLine="720"/>
        <w:jc w:val="both"/>
      </w:pPr>
      <w:r>
        <w:rPr>
          <w:b/>
          <w:bCs/>
        </w:rPr>
        <w:t>13.4  Partnership Assets Sole Source.</w:t>
      </w:r>
      <w:r>
        <w:t xml:space="preserve">  The partners shall look solely to the partnership's assets for the payment of any debts or liabilities owed by the partnership to the partners and for the return of their capital contributions and liquidation amounts. If the partnership property remaining after the payment or discharge of all of its debts and liabilities to persons other than partners is insufficient to return the partners' capital contributions, they shall have no recourse therefor against the partnership or any other partners, except to the extent that such other partners may have outstanding debts or obligations owing to the partnership.</w:t>
      </w:r>
    </w:p>
    <w:p w:rsidR="00800BE7" w:rsidRDefault="00800BE7">
      <w:pPr>
        <w:widowControl/>
        <w:jc w:val="both"/>
      </w:pPr>
    </w:p>
    <w:p w:rsidR="00800BE7" w:rsidRDefault="00800BE7">
      <w:pPr>
        <w:keepNext/>
        <w:keepLines/>
        <w:widowControl/>
        <w:tabs>
          <w:tab w:val="center" w:pos="4682"/>
        </w:tabs>
        <w:jc w:val="both"/>
      </w:pPr>
      <w:r>
        <w:lastRenderedPageBreak/>
        <w:tab/>
      </w:r>
      <w:r>
        <w:rPr>
          <w:b/>
          <w:bCs/>
        </w:rPr>
        <w:t>Section 14.  Amendments</w:t>
      </w:r>
    </w:p>
    <w:p w:rsidR="00800BE7" w:rsidRDefault="00800BE7">
      <w:pPr>
        <w:keepNext/>
        <w:keepLines/>
        <w:widowControl/>
        <w:jc w:val="both"/>
      </w:pPr>
    </w:p>
    <w:p w:rsidR="00800BE7" w:rsidRDefault="00800BE7">
      <w:pPr>
        <w:keepLines/>
        <w:widowControl/>
        <w:ind w:firstLine="720"/>
        <w:jc w:val="both"/>
      </w:pPr>
      <w:r>
        <w:t>The agreement shall be amended automatically to reflect any valid transfers of partnership interests. Otherwise, the agreement shall be amended only with the unanimous consent of the partners.</w:t>
      </w:r>
    </w:p>
    <w:p w:rsidR="00800BE7" w:rsidRDefault="00800BE7">
      <w:pPr>
        <w:widowControl/>
        <w:jc w:val="both"/>
      </w:pPr>
    </w:p>
    <w:p w:rsidR="00800BE7" w:rsidRDefault="00800BE7">
      <w:pPr>
        <w:widowControl/>
        <w:tabs>
          <w:tab w:val="center" w:pos="4682"/>
        </w:tabs>
        <w:jc w:val="both"/>
      </w:pPr>
      <w:r>
        <w:tab/>
      </w:r>
      <w:r>
        <w:rPr>
          <w:b/>
          <w:bCs/>
        </w:rPr>
        <w:t>Section 15.  Power of Attorney</w:t>
      </w:r>
    </w:p>
    <w:p w:rsidR="00800BE7" w:rsidRDefault="00800BE7">
      <w:pPr>
        <w:widowControl/>
        <w:jc w:val="both"/>
      </w:pPr>
    </w:p>
    <w:p w:rsidR="00800BE7" w:rsidRDefault="00800BE7">
      <w:pPr>
        <w:widowControl/>
        <w:ind w:firstLine="720"/>
        <w:jc w:val="both"/>
      </w:pPr>
      <w:r>
        <w:rPr>
          <w:b/>
          <w:bCs/>
        </w:rPr>
        <w:t>15.1  General.</w:t>
      </w:r>
      <w:r>
        <w:t xml:space="preserve">  Each limited partner names the general partner as the limited partner's attorney</w:t>
      </w:r>
      <w:r>
        <w:noBreakHyphen/>
        <w:t>in</w:t>
      </w:r>
      <w:r>
        <w:noBreakHyphen/>
        <w:t>fact, and gives the general partner full power and authority, in the place of the limited partner, to file and record any written instruments that are necessary or appropriate to: (a) amend the certificate of partnership; (b) satisfy requirements of the laws of any state in which the partnership is doing business; (c) continue the partnership, admit additional or substituted partners, dissolve or terminate the partnership or any interest in it; (d) obtain or settle any loan; and (e) transfer any partnership assets.</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15.2  Power with an Interest.</w:t>
      </w:r>
      <w:r>
        <w:t xml:space="preserve">  The power of attorney granted under this Section 15 is coupled with an interest, is irrevocable, and survives the Limited partner's incompetency. The general partner may exercise this power of attorney by a facsimile signature or by listing all of the limited partners with the signature of the general partner as the attor</w:t>
      </w:r>
      <w:r>
        <w:softHyphen/>
        <w:t>ney</w:t>
      </w:r>
      <w:r>
        <w:noBreakHyphen/>
        <w:t>in</w:t>
      </w:r>
      <w:r>
        <w:noBreakHyphen/>
        <w:t>fact for all of them.  This power of attorney survives the assignment of a limited partner's interest, and empowers each general partner to act to the same extent for any successor limited partner.</w:t>
      </w:r>
    </w:p>
    <w:p w:rsidR="00800BE7" w:rsidRDefault="00800BE7">
      <w:pPr>
        <w:widowControl/>
        <w:jc w:val="both"/>
      </w:pPr>
    </w:p>
    <w:p w:rsidR="00800BE7" w:rsidRDefault="00800BE7">
      <w:pPr>
        <w:widowControl/>
        <w:tabs>
          <w:tab w:val="center" w:pos="4682"/>
        </w:tabs>
        <w:jc w:val="both"/>
      </w:pPr>
      <w:r>
        <w:tab/>
      </w:r>
      <w:r>
        <w:rPr>
          <w:b/>
          <w:bCs/>
        </w:rPr>
        <w:t>Section 16.  Miscellaneous</w:t>
      </w:r>
    </w:p>
    <w:p w:rsidR="00800BE7" w:rsidRDefault="00800BE7">
      <w:pPr>
        <w:widowControl/>
        <w:jc w:val="both"/>
      </w:pPr>
    </w:p>
    <w:p w:rsidR="00800BE7" w:rsidRDefault="00800BE7">
      <w:pPr>
        <w:widowControl/>
        <w:tabs>
          <w:tab w:val="left" w:pos="-1440"/>
        </w:tabs>
        <w:ind w:left="7200" w:hanging="6480"/>
        <w:jc w:val="both"/>
        <w:rPr>
          <w:b/>
          <w:bCs/>
        </w:rPr>
      </w:pPr>
      <w:r>
        <w:rPr>
          <w:b/>
          <w:bCs/>
        </w:rPr>
        <w:t>16.1  Notices.</w:t>
      </w:r>
      <w:r>
        <w:t xml:space="preserve">  Any notice under the agreement shall be given and served either by personal delivery to the party to whom it is directed, or by registered or certified mail, postage and charges prepaid, and if it is sent to a partner, it shall be addressed with his, her, or its address as it appears on the records of the partnership.</w:t>
      </w:r>
      <w:r>
        <w:rPr>
          <w:b/>
          <w:bCs/>
        </w:rPr>
        <w:tab/>
      </w:r>
    </w:p>
    <w:p w:rsidR="00800BE7" w:rsidRDefault="00800BE7">
      <w:pPr>
        <w:widowControl/>
        <w:jc w:val="both"/>
        <w:rPr>
          <w:b/>
          <w:bCs/>
        </w:rPr>
      </w:pPr>
    </w:p>
    <w:p w:rsidR="00800BE7" w:rsidRDefault="00800BE7">
      <w:pPr>
        <w:widowControl/>
        <w:ind w:firstLine="1440"/>
        <w:jc w:val="both"/>
      </w:pPr>
      <w:r>
        <w:rPr>
          <w:b/>
          <w:bCs/>
        </w:rPr>
        <w:lastRenderedPageBreak/>
        <w:t>16.1.1</w:t>
      </w:r>
      <w:r>
        <w:t xml:space="preserve">  Any notice shall be deemed given when it is personally delivered, or, if mailed, on the date it is postmarked by the United States Postal Service, if it was addressed as required in this Section 16.</w:t>
      </w:r>
    </w:p>
    <w:p w:rsidR="00800BE7" w:rsidRDefault="00800BE7">
      <w:pPr>
        <w:widowControl/>
        <w:jc w:val="both"/>
      </w:pPr>
    </w:p>
    <w:p w:rsidR="00800BE7" w:rsidRDefault="00800BE7">
      <w:pPr>
        <w:widowControl/>
        <w:ind w:firstLine="1440"/>
        <w:jc w:val="both"/>
      </w:pPr>
      <w:r>
        <w:rPr>
          <w:b/>
          <w:bCs/>
        </w:rPr>
        <w:t>16.1.2</w:t>
      </w:r>
      <w:r>
        <w:t xml:space="preserve">  Any partner may change his, her, or its address for purposes of the agreement by written notice to a general partner, stating his, her, or its new address. A change of address shall be effective fifteen (15) days after the notice is received by a general partner.</w:t>
      </w:r>
    </w:p>
    <w:p w:rsidR="00800BE7" w:rsidRDefault="00800BE7">
      <w:pPr>
        <w:widowControl/>
        <w:jc w:val="both"/>
      </w:pPr>
    </w:p>
    <w:p w:rsidR="00800BE7" w:rsidRDefault="00800BE7">
      <w:pPr>
        <w:widowControl/>
        <w:ind w:firstLine="720"/>
        <w:jc w:val="both"/>
      </w:pPr>
      <w:r>
        <w:rPr>
          <w:b/>
          <w:bCs/>
        </w:rPr>
        <w:t>16.2  Non</w:t>
      </w:r>
      <w:r>
        <w:rPr>
          <w:b/>
          <w:bCs/>
        </w:rPr>
        <w:noBreakHyphen/>
        <w:t>waiver.</w:t>
      </w:r>
      <w:r>
        <w:t xml:space="preserve">  Any party's failure to seek redress for violation of or to insist upon the strict performance of any provision of the agreement shall not prevent a subsequent act, which would have originally constituted a violation, from having the effect of an original violation.</w:t>
      </w:r>
    </w:p>
    <w:p w:rsidR="00800BE7" w:rsidRDefault="00800BE7">
      <w:pPr>
        <w:widowControl/>
        <w:jc w:val="both"/>
      </w:pPr>
    </w:p>
    <w:p w:rsidR="00800BE7" w:rsidRDefault="00800BE7">
      <w:pPr>
        <w:widowControl/>
        <w:ind w:firstLine="720"/>
        <w:jc w:val="both"/>
      </w:pPr>
      <w:r>
        <w:rPr>
          <w:b/>
          <w:bCs/>
        </w:rPr>
        <w:t>16.3  Severability.</w:t>
      </w:r>
      <w:r>
        <w:t xml:space="preserve">  Every provision of the agreement is intended to be severable. If any term or provision hereof is invalid for any reason whatsoever, its invalidity shall not affect the validity of the remainder of the agreement.</w:t>
      </w:r>
    </w:p>
    <w:p w:rsidR="00800BE7" w:rsidRDefault="00800BE7">
      <w:pPr>
        <w:widowControl/>
        <w:jc w:val="both"/>
      </w:pPr>
    </w:p>
    <w:p w:rsidR="00800BE7" w:rsidRDefault="00800BE7">
      <w:pPr>
        <w:widowControl/>
        <w:ind w:firstLine="720"/>
        <w:jc w:val="both"/>
      </w:pPr>
      <w:r>
        <w:rPr>
          <w:b/>
          <w:bCs/>
        </w:rPr>
        <w:t>16.4  Good Faith.</w:t>
      </w:r>
      <w:r>
        <w:t xml:space="preserve">  The performance of any act, or the failure to perform any act, by a partner or the partnership, the effect of which causes any loss or damage to the partnership, shall not subject such partner or the partnership to any liability, if the decision to perform or not to perform the act was made pursuant to advice of the partnership's legal counsel or in good faith to promote the partnership's best interests.</w:t>
      </w:r>
    </w:p>
    <w:p w:rsidR="00800BE7" w:rsidRDefault="00800BE7">
      <w:pPr>
        <w:widowControl/>
        <w:jc w:val="both"/>
      </w:pPr>
    </w:p>
    <w:p w:rsidR="00800BE7" w:rsidRDefault="00800BE7">
      <w:pPr>
        <w:widowControl/>
        <w:ind w:firstLine="720"/>
        <w:jc w:val="both"/>
      </w:pPr>
      <w:r>
        <w:rPr>
          <w:b/>
          <w:bCs/>
        </w:rPr>
        <w:t>16.5  Governing Law.</w:t>
      </w:r>
      <w:r>
        <w:t xml:space="preserve">  The agreement is to be construed according to the laws of the state of *state*.</w:t>
      </w:r>
    </w:p>
    <w:p w:rsidR="00800BE7" w:rsidRDefault="00800BE7">
      <w:pPr>
        <w:widowControl/>
        <w:jc w:val="both"/>
      </w:pPr>
    </w:p>
    <w:p w:rsidR="00800BE7" w:rsidRDefault="00800BE7">
      <w:pPr>
        <w:widowControl/>
        <w:ind w:firstLine="720"/>
        <w:jc w:val="both"/>
      </w:pPr>
      <w:r>
        <w:rPr>
          <w:b/>
          <w:bCs/>
        </w:rPr>
        <w:t>16.6  Cumulative Rights.</w:t>
      </w:r>
      <w:r>
        <w:t xml:space="preserve">  The rights and remedies provided in the agreement are cumulative and the use of any right or remedy does not limit a party's right to use any or all other remedies.  All rights and remedies in the agreement are in addition to any other legal rights the parties may have.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16.7  Other Activities.</w:t>
      </w:r>
      <w:r>
        <w:t xml:space="preserve">  A partner may engage in whatever activities he or she chooses without any obligation to offer any interest in such activities to any party hereof.</w:t>
      </w:r>
    </w:p>
    <w:p w:rsidR="00800BE7" w:rsidRDefault="00800BE7">
      <w:pPr>
        <w:widowControl/>
        <w:jc w:val="both"/>
      </w:pPr>
    </w:p>
    <w:p w:rsidR="00800BE7" w:rsidRDefault="00800BE7">
      <w:pPr>
        <w:widowControl/>
        <w:ind w:firstLine="720"/>
        <w:jc w:val="both"/>
      </w:pPr>
      <w:r>
        <w:rPr>
          <w:b/>
          <w:bCs/>
        </w:rPr>
        <w:t>16.8  Confidentiality.</w:t>
      </w:r>
      <w:r>
        <w:t xml:space="preserve">  No partner may, without every general partner's express written consent, divulge to others any information not already known to the public pertinent to the services, clients, customers, or operations of the partnership, whether before or after the partnership's dissolution.</w:t>
      </w:r>
    </w:p>
    <w:p w:rsidR="00800BE7" w:rsidRDefault="00800BE7">
      <w:pPr>
        <w:widowControl/>
        <w:jc w:val="both"/>
      </w:pPr>
    </w:p>
    <w:p w:rsidR="00800BE7" w:rsidRDefault="00800BE7">
      <w:pPr>
        <w:widowControl/>
        <w:ind w:firstLine="720"/>
        <w:jc w:val="both"/>
      </w:pPr>
      <w:r>
        <w:rPr>
          <w:b/>
          <w:bCs/>
        </w:rPr>
        <w:t>16.9  Counterparts.</w:t>
      </w:r>
      <w:r>
        <w:t xml:space="preserve">  The agreement may be executed in any number of counterparts with the same effect as if all parties hereto had all signed the same document. All counterparts shall be construed together and shall constitute one (1) agreement.</w:t>
      </w:r>
    </w:p>
    <w:p w:rsidR="00800BE7" w:rsidRDefault="00800BE7">
      <w:pPr>
        <w:widowControl/>
        <w:jc w:val="both"/>
      </w:pPr>
    </w:p>
    <w:p w:rsidR="00800BE7" w:rsidRDefault="00800BE7">
      <w:pPr>
        <w:widowControl/>
        <w:ind w:firstLine="720"/>
        <w:jc w:val="both"/>
      </w:pPr>
      <w:r>
        <w:rPr>
          <w:b/>
          <w:bCs/>
        </w:rPr>
        <w:lastRenderedPageBreak/>
        <w:t>16.10  Waiver of Partition.</w:t>
      </w:r>
      <w:r>
        <w:t xml:space="preserve">  Each partner waives any right to maintain any action for partition with respect to the partnership's property or assets during the partnership's term.</w:t>
      </w:r>
    </w:p>
    <w:p w:rsidR="00800BE7" w:rsidRDefault="00800BE7">
      <w:pPr>
        <w:widowControl/>
        <w:jc w:val="both"/>
      </w:pPr>
    </w:p>
    <w:p w:rsidR="00800BE7" w:rsidRDefault="00800BE7">
      <w:pPr>
        <w:widowControl/>
        <w:ind w:firstLine="720"/>
        <w:jc w:val="both"/>
      </w:pPr>
      <w:r>
        <w:rPr>
          <w:b/>
          <w:bCs/>
        </w:rPr>
        <w:t>16.11  Binding Terms.</w:t>
      </w:r>
      <w:r>
        <w:t xml:space="preserve">  The terms of the agreement are binding upon and inure to the benefit of the parties and, to the extent permitted by the agreement, their heirs, executors, administrators, legal representatives, successors and assigns.</w:t>
      </w:r>
    </w:p>
    <w:p w:rsidR="00800BE7" w:rsidRDefault="00800BE7">
      <w:pPr>
        <w:widowControl/>
        <w:jc w:val="both"/>
      </w:pPr>
    </w:p>
    <w:p w:rsidR="00800BE7" w:rsidRDefault="00800BE7">
      <w:pPr>
        <w:widowControl/>
        <w:ind w:firstLine="720"/>
        <w:jc w:val="both"/>
      </w:pPr>
      <w:r>
        <w:rPr>
          <w:b/>
          <w:bCs/>
        </w:rPr>
        <w:t>16.12  Personal Property.</w:t>
      </w:r>
      <w:r>
        <w:t xml:space="preserve">  The interests of each partner in the partnership are personal property.</w:t>
      </w:r>
    </w:p>
    <w:p w:rsidR="00800BE7" w:rsidRDefault="00800BE7">
      <w:pPr>
        <w:widowControl/>
        <w:jc w:val="both"/>
      </w:pPr>
    </w:p>
    <w:p w:rsidR="00800BE7" w:rsidRDefault="00800BE7">
      <w:pPr>
        <w:widowControl/>
        <w:ind w:firstLine="720"/>
        <w:jc w:val="both"/>
      </w:pPr>
      <w:r>
        <w:rPr>
          <w:b/>
          <w:bCs/>
        </w:rPr>
        <w:t>16.13  Gender and Number.</w:t>
      </w:r>
      <w:r>
        <w:t xml:space="preserve">  Unless the context requires otherwise, the use of a masculine pronoun includes the feminine and the neuter, and vice versa, and the use of the singular includes the plural, and vice versa.</w:t>
      </w:r>
    </w:p>
    <w:p w:rsidR="00800BE7" w:rsidRDefault="00800BE7">
      <w:pPr>
        <w:widowControl/>
        <w:jc w:val="both"/>
      </w:pPr>
    </w:p>
    <w:p w:rsidR="00800BE7" w:rsidRDefault="00800BE7">
      <w:pPr>
        <w:keepNext/>
        <w:keepLines/>
        <w:widowControl/>
        <w:tabs>
          <w:tab w:val="center" w:pos="4682"/>
        </w:tabs>
        <w:jc w:val="both"/>
      </w:pPr>
      <w:r>
        <w:tab/>
      </w:r>
      <w:r>
        <w:rPr>
          <w:b/>
          <w:bCs/>
        </w:rPr>
        <w:t>Section 17.  Definitions</w:t>
      </w:r>
    </w:p>
    <w:p w:rsidR="00800BE7" w:rsidRDefault="00800BE7">
      <w:pPr>
        <w:keepNext/>
        <w:keepLines/>
        <w:widowControl/>
        <w:jc w:val="both"/>
      </w:pPr>
    </w:p>
    <w:p w:rsidR="00800BE7" w:rsidRDefault="00800BE7">
      <w:pPr>
        <w:keepLines/>
        <w:widowControl/>
        <w:ind w:firstLine="720"/>
        <w:jc w:val="both"/>
      </w:pPr>
      <w:r>
        <w:rPr>
          <w:b/>
          <w:bCs/>
        </w:rPr>
        <w:t>17.1  Agreement.</w:t>
      </w:r>
      <w:r>
        <w:t xml:space="preserve">  The "agreement" is the agreement of *Name*, as amended from time to time.  The agreement shall include all schedules, as they may be amended from time to time.</w:t>
      </w:r>
    </w:p>
    <w:p w:rsidR="00800BE7" w:rsidRDefault="00800BE7">
      <w:pPr>
        <w:widowControl/>
        <w:jc w:val="both"/>
      </w:pPr>
    </w:p>
    <w:p w:rsidR="00800BE7" w:rsidRDefault="00800BE7">
      <w:pPr>
        <w:widowControl/>
        <w:ind w:firstLine="720"/>
        <w:jc w:val="both"/>
      </w:pPr>
      <w:r>
        <w:rPr>
          <w:b/>
          <w:bCs/>
        </w:rPr>
        <w:t>17.2  Capital Accounts.</w:t>
      </w:r>
      <w:r>
        <w:t xml:space="preserve">  The "capital accounts" or "partnership capital" is the total of the partners' capital contributions, adjusted as provided in the agreement.</w:t>
      </w:r>
    </w:p>
    <w:p w:rsidR="00800BE7" w:rsidRDefault="00800BE7">
      <w:pPr>
        <w:widowControl/>
        <w:jc w:val="both"/>
      </w:pPr>
    </w:p>
    <w:p w:rsidR="00800BE7" w:rsidRDefault="00800BE7">
      <w:pPr>
        <w:widowControl/>
        <w:ind w:firstLine="720"/>
        <w:jc w:val="both"/>
      </w:pPr>
      <w:r>
        <w:rPr>
          <w:b/>
          <w:bCs/>
        </w:rPr>
        <w:t>17.3  Certificate.</w:t>
      </w:r>
      <w:r>
        <w:t xml:space="preserve">  The "certificate" is the certificate of limited partnership filed on behalf of the partnership, as amended from time to time.</w:t>
      </w:r>
    </w:p>
    <w:p w:rsidR="00800BE7" w:rsidRDefault="00800BE7">
      <w:pPr>
        <w:widowControl/>
        <w:jc w:val="both"/>
      </w:pPr>
    </w:p>
    <w:p w:rsidR="00800BE7" w:rsidRDefault="00800BE7">
      <w:pPr>
        <w:widowControl/>
        <w:ind w:firstLine="720"/>
        <w:jc w:val="both"/>
      </w:pPr>
      <w:r>
        <w:rPr>
          <w:b/>
          <w:bCs/>
        </w:rPr>
        <w:t>17.4  Days.</w:t>
      </w:r>
      <w:r>
        <w:t xml:space="preserve">  "Day" or "days" refers to a calendar day, including any days which fall on legal holidays or weekends.</w:t>
      </w:r>
    </w:p>
    <w:p w:rsidR="00800BE7" w:rsidRDefault="00800BE7">
      <w:pPr>
        <w:widowControl/>
        <w:jc w:val="both"/>
      </w:pPr>
    </w:p>
    <w:p w:rsidR="00800BE7" w:rsidRDefault="00800BE7">
      <w:pPr>
        <w:widowControl/>
        <w:ind w:firstLine="720"/>
        <w:jc w:val="both"/>
      </w:pPr>
      <w:r>
        <w:rPr>
          <w:b/>
          <w:bCs/>
        </w:rPr>
        <w:t>17.5  General Partner.</w:t>
      </w:r>
      <w:r>
        <w:t xml:space="preserve">  The "general partner" shall refer to *GeneralPartner*, and any additional or successor general partner.</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17.6  Income Offset.</w:t>
      </w:r>
      <w:r>
        <w:t xml:space="preserve">  The "income offset" shall be synonymous with and interpreted consistently with the “qualified income offset” defined in U.S. Treasury Regulations § 1.704</w:t>
      </w:r>
      <w:r>
        <w:noBreakHyphen/>
        <w:t>1(b)(2)(ii)(d), as amended.</w:t>
      </w:r>
    </w:p>
    <w:p w:rsidR="00800BE7" w:rsidRDefault="00800BE7">
      <w:pPr>
        <w:widowControl/>
        <w:jc w:val="both"/>
      </w:pPr>
    </w:p>
    <w:p w:rsidR="00800BE7" w:rsidRDefault="00800BE7">
      <w:pPr>
        <w:widowControl/>
        <w:ind w:firstLine="720"/>
        <w:jc w:val="both"/>
      </w:pPr>
      <w:r>
        <w:rPr>
          <w:b/>
          <w:bCs/>
        </w:rPr>
        <w:t>17.7  Limited Partner.</w:t>
      </w:r>
      <w:r>
        <w:t xml:space="preserve">  The "limited partner" or "limited partners" shall refer to *LimitedPartner1*, *LimitedPartner2*, and *Partner3*, and any persons who later become limited partners, each of whom is a limited partner.</w:t>
      </w:r>
    </w:p>
    <w:p w:rsidR="00800BE7" w:rsidRDefault="00800BE7">
      <w:pPr>
        <w:widowControl/>
        <w:jc w:val="both"/>
      </w:pPr>
    </w:p>
    <w:p w:rsidR="00800BE7" w:rsidRDefault="00800BE7">
      <w:pPr>
        <w:widowControl/>
        <w:ind w:firstLine="720"/>
        <w:jc w:val="both"/>
      </w:pPr>
      <w:r>
        <w:rPr>
          <w:b/>
          <w:bCs/>
        </w:rPr>
        <w:t>17.8  Net Cash Flow.</w:t>
      </w:r>
      <w:r>
        <w:t xml:space="preserve">  "Net cash flow" is the partnership's total net income, computed for federal income tax purposes, increased by any depreciation or depletion deductions taken into account in computing taxable income and any nontaxable income or receipts (other than capital contributions and the proceeds of any partnership borrowing); </w:t>
      </w:r>
      <w:r>
        <w:lastRenderedPageBreak/>
        <w:t>and reduced by any principal payments on any partnership debts, expenditures to acquire or improve partnership assets, any proceeds from the sale or exchange of partnership assets, and such reasonable reserves and additions thereto as the general partner shall determine to be advisable and in the best interests of the partnership, having due regard to the interests of the limited partners.</w:t>
      </w:r>
    </w:p>
    <w:p w:rsidR="00800BE7" w:rsidRDefault="00800BE7">
      <w:pPr>
        <w:widowControl/>
        <w:jc w:val="both"/>
      </w:pPr>
    </w:p>
    <w:p w:rsidR="00800BE7" w:rsidRDefault="00800BE7">
      <w:pPr>
        <w:widowControl/>
        <w:ind w:firstLine="720"/>
        <w:jc w:val="both"/>
      </w:pPr>
      <w:r>
        <w:rPr>
          <w:b/>
          <w:bCs/>
        </w:rPr>
        <w:t>17.9  Partners.</w:t>
      </w:r>
      <w:r>
        <w:t xml:space="preserve">  The "partners" or a "partner", when used without the words “general” or “limited,” shall refer to both the general partners and the limited partners.</w:t>
      </w:r>
    </w:p>
    <w:p w:rsidR="00800BE7" w:rsidRDefault="00800BE7">
      <w:pPr>
        <w:widowControl/>
        <w:jc w:val="both"/>
      </w:pPr>
    </w:p>
    <w:p w:rsidR="00800BE7" w:rsidRDefault="00800BE7">
      <w:pPr>
        <w:widowControl/>
        <w:ind w:firstLine="720"/>
        <w:jc w:val="both"/>
      </w:pPr>
      <w:r>
        <w:rPr>
          <w:b/>
          <w:bCs/>
        </w:rPr>
        <w:t>17.10  Partnership.</w:t>
      </w:r>
      <w:r>
        <w:t xml:space="preserve">  The "partnership" refers to *Name*.</w:t>
      </w:r>
    </w:p>
    <w:p w:rsidR="00800BE7" w:rsidRDefault="00800BE7">
      <w:pPr>
        <w:widowControl/>
        <w:jc w:val="both"/>
      </w:pPr>
    </w:p>
    <w:p w:rsidR="00800BE7" w:rsidRDefault="00800BE7">
      <w:pPr>
        <w:widowControl/>
        <w:ind w:firstLine="720"/>
        <w:jc w:val="both"/>
      </w:pPr>
      <w:r>
        <w:rPr>
          <w:b/>
          <w:bCs/>
        </w:rPr>
        <w:t>17.11  Partnership Capital.</w:t>
      </w:r>
      <w:r>
        <w:t xml:space="preserve">  The "partnership capital" is the total of the partners' capital contributions, as adjusted pursuant to the agreement.</w:t>
      </w:r>
    </w:p>
    <w:p w:rsidR="00800BE7" w:rsidRDefault="00800BE7">
      <w:pPr>
        <w:widowControl/>
        <w:jc w:val="both"/>
      </w:pPr>
    </w:p>
    <w:p w:rsidR="00800BE7" w:rsidRDefault="00800BE7">
      <w:pPr>
        <w:widowControl/>
        <w:ind w:firstLine="720"/>
        <w:jc w:val="both"/>
      </w:pPr>
      <w:r>
        <w:rPr>
          <w:b/>
          <w:bCs/>
        </w:rPr>
        <w:t>17.12  Partnership Interests.</w:t>
      </w:r>
      <w:r>
        <w:t xml:space="preserve">  The "partnership interests" are the relative interests of the individual partners in the partnership, as listed on a schedule to the agreement.</w:t>
      </w:r>
    </w:p>
    <w:p w:rsidR="00800BE7" w:rsidRDefault="00800BE7">
      <w:pPr>
        <w:widowControl/>
        <w:jc w:val="both"/>
      </w:pPr>
    </w:p>
    <w:p w:rsidR="00800BE7" w:rsidRDefault="00800BE7">
      <w:pPr>
        <w:widowControl/>
        <w:ind w:firstLine="720"/>
        <w:jc w:val="both"/>
      </w:pPr>
      <w:r>
        <w:rPr>
          <w:b/>
          <w:bCs/>
        </w:rPr>
        <w:t>17.13  Tax</w:t>
      </w:r>
      <w:r>
        <w:rPr>
          <w:b/>
          <w:bCs/>
        </w:rPr>
        <w:noBreakHyphen/>
        <w:t>Sensitive Adjustments.</w:t>
      </w:r>
      <w:r>
        <w:t xml:space="preserve">  The "tax</w:t>
      </w:r>
      <w:r>
        <w:noBreakHyphen/>
        <w:t>sensitive adjustments" are all adjustments to a partner's capital account that are not specifically required under the terms of the agreement, but that are required by U.S. Treasury Regulations § 1.704</w:t>
      </w:r>
      <w:r>
        <w:noBreakHyphen/>
        <w:t>1(b)(2)(iv) (“Maintenance of Capital accounts”), as amended.  Such adjustments shall be made annually, unless these regulations require a more frequent adjustment.</w:t>
      </w:r>
    </w:p>
    <w:p w:rsidR="00800BE7" w:rsidRDefault="00800BE7">
      <w:pPr>
        <w:widowControl/>
        <w:jc w:val="both"/>
      </w:pPr>
    </w:p>
    <w:p w:rsidR="00800BE7" w:rsidRDefault="00800BE7">
      <w:pPr>
        <w:widowControl/>
        <w:ind w:firstLine="720"/>
        <w:jc w:val="both"/>
      </w:pPr>
      <w:r>
        <w:rPr>
          <w:b/>
          <w:bCs/>
        </w:rPr>
        <w:t>17.14  Transfer.</w:t>
      </w:r>
      <w:r>
        <w:t xml:space="preserve">  A "transfer" of a partnership interest includes any sale, pledge, encumbrance, gift, bequest, or other transfer or disposition of the partnership interest or permitting it to be sold, encumbered, attached, or otherwise disposed of, or changing its ownership in any manner, whether voluntarily, involuntarily, or by operation of law.  A “transfer” does not include any assignment of any partnership interest to another partner or to any trust that is entirely revocable by the assignor, but such trust shall be treated as the agent of the assignor, and any subsequent disposition of such partnership interest by such trust shall be deemed to have been made by the trust's settlor or grantor.</w:t>
      </w:r>
    </w:p>
    <w:p w:rsidR="00800BE7" w:rsidRDefault="00800BE7">
      <w:pPr>
        <w:widowControl/>
        <w:jc w:val="both"/>
      </w:pP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lastRenderedPageBreak/>
        <w:t>AGREED on the date first noted above.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t>[Signature and notarial clauses and schedule omitted from this exemplar]</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t>---------------------</w:t>
      </w:r>
    </w:p>
    <w:p w:rsidR="00800BE7" w:rsidRDefault="00800BE7">
      <w:pPr>
        <w:widowControl/>
        <w:jc w:val="both"/>
      </w:pPr>
    </w:p>
    <w:p w:rsidR="00800BE7" w:rsidRDefault="00800BE7">
      <w:pPr>
        <w:widowControl/>
        <w:tabs>
          <w:tab w:val="center" w:pos="4682"/>
        </w:tabs>
        <w:jc w:val="both"/>
      </w:pPr>
      <w:r>
        <w:tab/>
      </w:r>
      <w:r>
        <w:rPr>
          <w:b/>
          <w:bCs/>
        </w:rPr>
        <w:t>Deed of Gift of Limited Partnership Interest</w:t>
      </w:r>
      <w:r>
        <w:rPr>
          <w:rStyle w:val="FootnoteReference"/>
          <w:vertAlign w:val="superscript"/>
        </w:rPr>
        <w:footnoteReference w:id="4"/>
      </w:r>
    </w:p>
    <w:p w:rsidR="00800BE7" w:rsidRDefault="00800BE7">
      <w:pPr>
        <w:widowControl/>
        <w:jc w:val="both"/>
      </w:pPr>
    </w:p>
    <w:p w:rsidR="00800BE7" w:rsidRDefault="00800BE7">
      <w:pPr>
        <w:widowControl/>
        <w:jc w:val="both"/>
      </w:pPr>
    </w:p>
    <w:p w:rsidR="00800BE7" w:rsidRDefault="00800BE7">
      <w:pPr>
        <w:widowControl/>
        <w:ind w:firstLine="720"/>
        <w:jc w:val="both"/>
      </w:pPr>
      <w:r>
        <w:t>I, *Donor*, of [</w:t>
      </w:r>
      <w:r>
        <w:rPr>
          <w:u w:val="single"/>
        </w:rPr>
        <w:t>address</w:t>
      </w:r>
      <w:r>
        <w:t>], do hereby transfer a limited partnership interest in *Name*, a [</w:t>
      </w:r>
      <w:r>
        <w:rPr>
          <w:u w:val="single"/>
        </w:rPr>
        <w:t>state</w:t>
      </w:r>
      <w:r>
        <w:t>] limited partnership, to *Donee* (sometimes referred to as *Short4Donee*).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rPr>
        <w:t>Section 1.  Amount Transferred</w:t>
      </w:r>
    </w:p>
    <w:p w:rsidR="00800BE7" w:rsidRDefault="00800BE7">
      <w:pPr>
        <w:widowControl/>
        <w:jc w:val="both"/>
      </w:pPr>
    </w:p>
    <w:p w:rsidR="00800BE7" w:rsidRDefault="00800BE7">
      <w:pPr>
        <w:widowControl/>
        <w:ind w:firstLine="720"/>
        <w:jc w:val="both"/>
      </w:pPr>
      <w:r>
        <w:t>I transfer by this deed of gift an interest representing a [percentage] limited partnership interest in *Name*.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rPr>
          <w:b/>
          <w:bCs/>
        </w:rPr>
      </w:pPr>
      <w:r>
        <w:tab/>
      </w:r>
      <w:r>
        <w:rPr>
          <w:b/>
          <w:bCs/>
        </w:rPr>
        <w:t>Section 2.  Put Right</w:t>
      </w:r>
    </w:p>
    <w:p w:rsidR="00800BE7" w:rsidRDefault="00800BE7">
      <w:pPr>
        <w:widowControl/>
        <w:jc w:val="both"/>
      </w:pPr>
    </w:p>
    <w:p w:rsidR="00800BE7" w:rsidRDefault="00800BE7">
      <w:pPr>
        <w:widowControl/>
        <w:ind w:firstLine="720"/>
        <w:jc w:val="both"/>
      </w:pPr>
      <w:r>
        <w:t>For sixty (60) days immediately following the date of this gift, *Short4Donee* shall have the right to require that I buy the interest that I have given *him/her* pursuant to this instrument.</w:t>
      </w:r>
    </w:p>
    <w:p w:rsidR="00800BE7" w:rsidRDefault="00800BE7">
      <w:pPr>
        <w:widowControl/>
        <w:jc w:val="both"/>
      </w:pPr>
    </w:p>
    <w:p w:rsidR="00800BE7" w:rsidRDefault="00800BE7">
      <w:pPr>
        <w:widowControl/>
        <w:ind w:firstLine="720"/>
        <w:jc w:val="both"/>
      </w:pPr>
      <w:r>
        <w:rPr>
          <w:b/>
          <w:bCs/>
        </w:rPr>
        <w:t>A.</w:t>
      </w:r>
      <w:r>
        <w:t xml:space="preserve">  *Short4Donee* may exercise this put right by a writing delivered to me.  The put right may be exercised on behalf of *Short4Donee*, if *he/she* is unable to exercise this right because of a legal disability (including minority), by a legally authorized guardian or other personal representative.  If *Short4Donee* is so disabled and if *he/she* has no then-serving personal. representative, the general partner shall appoint an appropriate adult individual to act for *Short4Donee* in this matter.</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B.</w:t>
      </w:r>
      <w:r>
        <w:t xml:space="preserve">  The maximum amount that *Short4Donee* may require me to buy under this put right, with respect to the partnership interest gift under this deed of gift, shall be the lesser of: (a) the total amount of the partnership interest gifts under this deed of gift, valued as for federal gift tax purposes; and (b) the amount of the federal gift tax annual exclusion in effect on the date of this gift, reduced by the amount of any other gifts I shall have made to *Short4Donee* in the same calendar year as this gift (or twice that amount if I am married to a U.S. citizen on the date of this gift).</w:t>
      </w:r>
    </w:p>
    <w:p w:rsidR="00800BE7" w:rsidRDefault="00800BE7">
      <w:pPr>
        <w:widowControl/>
        <w:jc w:val="both"/>
      </w:pPr>
    </w:p>
    <w:p w:rsidR="00800BE7" w:rsidRDefault="00800BE7">
      <w:pPr>
        <w:widowControl/>
        <w:ind w:firstLine="720"/>
        <w:jc w:val="both"/>
      </w:pPr>
      <w:r>
        <w:rPr>
          <w:b/>
          <w:bCs/>
        </w:rPr>
        <w:lastRenderedPageBreak/>
        <w:t>C.</w:t>
      </w:r>
      <w:r>
        <w:t xml:space="preserve">  The price that I shall pay for a partnership interest under this Section 2 shall be the fair market value of that interest, as determined for federal gift tax purposes, ignoring the existence of this put right.</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rPr>
        <w:t>Section 3.  Date of this Gift</w:t>
      </w:r>
    </w:p>
    <w:p w:rsidR="00800BE7" w:rsidRDefault="00800BE7">
      <w:pPr>
        <w:widowControl/>
        <w:jc w:val="both"/>
      </w:pPr>
    </w:p>
    <w:p w:rsidR="00800BE7" w:rsidRDefault="00800BE7">
      <w:pPr>
        <w:widowControl/>
        <w:ind w:firstLine="720"/>
        <w:jc w:val="both"/>
      </w:pPr>
      <w:r>
        <w:t>This gift shall be effective on the date on which I have signed it, regardless of the date on which *Short4Donee* shall have signed it.</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t>[Signature, dates, and notarial clause for donor, and</w:t>
      </w:r>
    </w:p>
    <w:p w:rsidR="00800BE7" w:rsidRDefault="00800BE7">
      <w:pPr>
        <w:widowControl/>
        <w:tabs>
          <w:tab w:val="center" w:pos="4682"/>
        </w:tabs>
        <w:jc w:val="both"/>
      </w:pPr>
      <w:r>
        <w:tab/>
        <w:t>signature of donee omitted from this exemplar]</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3.</w:t>
      </w:r>
      <w:r>
        <w:rPr>
          <w:b/>
          <w:bCs/>
        </w:rPr>
        <w:tab/>
      </w:r>
      <w:r>
        <w:rPr>
          <w:b/>
          <w:bCs/>
          <w:i/>
          <w:iCs/>
        </w:rPr>
        <w:t>Graegin</w:t>
      </w:r>
      <w:r>
        <w:rPr>
          <w:b/>
          <w:bCs/>
        </w:rPr>
        <w:t xml:space="preserve"> Loan – Fixed Interest Rate and Term – No Prepayment Permitted – See Loan in </w:t>
      </w:r>
      <w:r>
        <w:rPr>
          <w:b/>
          <w:bCs/>
          <w:i/>
          <w:iCs/>
        </w:rPr>
        <w:t>Keller v. United States</w:t>
      </w:r>
      <w:r>
        <w:rPr>
          <w:b/>
          <w:bCs/>
        </w:rPr>
        <w:t>, 2010 WL 3700841, 106 A.F.T.R.2d 2010</w:t>
      </w:r>
      <w:r>
        <w:rPr>
          <w:b/>
          <w:bCs/>
        </w:rPr>
        <w:noBreakHyphen/>
        <w:t>6309 (S.D. Tex. Sept. 14, 2010) (slip copy)</w:t>
      </w:r>
      <w:r w:rsidR="00BC7053">
        <w:rPr>
          <w:b/>
          <w:bCs/>
        </w:rPr>
        <w:fldChar w:fldCharType="begin"/>
      </w:r>
      <w:r>
        <w:rPr>
          <w:b/>
          <w:bCs/>
        </w:rPr>
        <w:instrText>tc \l1 "3.</w:instrText>
      </w:r>
      <w:r>
        <w:rPr>
          <w:b/>
          <w:bCs/>
        </w:rPr>
        <w:tab/>
      </w:r>
      <w:r>
        <w:rPr>
          <w:b/>
          <w:bCs/>
          <w:i/>
          <w:iCs/>
        </w:rPr>
        <w:instrText>Graegin</w:instrText>
      </w:r>
      <w:r>
        <w:rPr>
          <w:b/>
          <w:bCs/>
        </w:rPr>
        <w:instrText xml:space="preserve"> Loan – Fixed Interest Rate and Term – No Prepayment Permitted – See Loan in </w:instrText>
      </w:r>
      <w:r>
        <w:rPr>
          <w:b/>
          <w:bCs/>
          <w:i/>
          <w:iCs/>
        </w:rPr>
        <w:instrText>Keller v. United States</w:instrText>
      </w:r>
      <w:r>
        <w:rPr>
          <w:b/>
          <w:bCs/>
        </w:rPr>
        <w:instrText>, 2010 WL 3700841, 106 A.F.T.R.2d 2010</w:instrText>
      </w:r>
      <w:r>
        <w:rPr>
          <w:b/>
          <w:bCs/>
        </w:rPr>
        <w:noBreakHyphen/>
        <w:instrText>6309 (S.D. Tex. Sept. 14, 2010) (slip copy)</w:instrText>
      </w:r>
      <w:r w:rsidR="00BC7053">
        <w:rPr>
          <w:b/>
          <w:bCs/>
        </w:rPr>
        <w:fldChar w:fldCharType="end"/>
      </w:r>
      <w:r>
        <w:rPr>
          <w:rStyle w:val="FootnoteReference"/>
          <w:vertAlign w:val="superscript"/>
        </w:rPr>
        <w:footnoteReference w:id="5"/>
      </w:r>
    </w:p>
    <w:p w:rsidR="00800BE7" w:rsidRDefault="00800BE7">
      <w:pPr>
        <w:widowControl/>
        <w:jc w:val="both"/>
      </w:pPr>
    </w:p>
    <w:p w:rsidR="00800BE7" w:rsidRDefault="00800BE7">
      <w:pPr>
        <w:widowControl/>
        <w:tabs>
          <w:tab w:val="center" w:pos="4682"/>
        </w:tabs>
        <w:jc w:val="both"/>
      </w:pPr>
      <w:r>
        <w:tab/>
      </w:r>
      <w:r>
        <w:rPr>
          <w:b/>
          <w:bCs/>
        </w:rPr>
        <w:t>PROMISSORY NOTE</w:t>
      </w:r>
    </w:p>
    <w:p w:rsidR="00800BE7" w:rsidRDefault="00800BE7">
      <w:pPr>
        <w:widowControl/>
        <w:jc w:val="both"/>
      </w:pPr>
    </w:p>
    <w:p w:rsidR="00800BE7" w:rsidRDefault="00800BE7">
      <w:pPr>
        <w:widowControl/>
        <w:jc w:val="both"/>
      </w:pPr>
    </w:p>
    <w:p w:rsidR="00800BE7" w:rsidRDefault="00800BE7">
      <w:pPr>
        <w:widowControl/>
        <w:ind w:firstLine="720"/>
        <w:jc w:val="both"/>
      </w:pPr>
      <w:r>
        <w:t>*PR*, as personal representative of the estate of *Decedent*, deceased (sometimes referred to as "Borrower"), promises to pay to *Lender*, of [</w:t>
      </w:r>
      <w:r>
        <w:rPr>
          <w:u w:val="single"/>
        </w:rPr>
        <w:t>address</w:t>
      </w:r>
      <w:r>
        <w:t>] (sometimes referred to as "Lender"), *Sum*, together with interest compounded semi-annually on the unpaid principal balance at the rate of *Rate* percent per annum.</w:t>
      </w:r>
    </w:p>
    <w:p w:rsidR="00800BE7" w:rsidRDefault="00800BE7">
      <w:pPr>
        <w:widowControl/>
        <w:jc w:val="both"/>
      </w:pPr>
    </w:p>
    <w:p w:rsidR="00800BE7" w:rsidRDefault="00800BE7">
      <w:pPr>
        <w:widowControl/>
        <w:tabs>
          <w:tab w:val="center" w:pos="4682"/>
        </w:tabs>
        <w:jc w:val="both"/>
        <w:rPr>
          <w:b/>
          <w:bCs/>
        </w:rPr>
      </w:pPr>
      <w:r>
        <w:tab/>
      </w:r>
    </w:p>
    <w:p w:rsidR="00800BE7" w:rsidRDefault="00800BE7">
      <w:pPr>
        <w:widowControl/>
        <w:tabs>
          <w:tab w:val="center" w:pos="4682"/>
        </w:tabs>
        <w:jc w:val="both"/>
      </w:pPr>
      <w:r>
        <w:rPr>
          <w:b/>
          <w:bCs/>
        </w:rPr>
        <w:tab/>
        <w:t>Section 1. Payments</w:t>
      </w:r>
    </w:p>
    <w:p w:rsidR="00800BE7" w:rsidRDefault="00800BE7">
      <w:pPr>
        <w:widowControl/>
        <w:jc w:val="both"/>
      </w:pPr>
    </w:p>
    <w:p w:rsidR="00800BE7" w:rsidRDefault="00800BE7">
      <w:pPr>
        <w:widowControl/>
        <w:ind w:firstLine="720"/>
        <w:jc w:val="both"/>
      </w:pPr>
      <w:r>
        <w:rPr>
          <w:b/>
          <w:bCs/>
        </w:rPr>
        <w:t>1.1  Maturity.</w:t>
      </w:r>
      <w:r>
        <w:t xml:space="preserve">  This note matures on the *Term* anniversary of the date the note was made.</w:t>
      </w:r>
    </w:p>
    <w:p w:rsidR="00800BE7" w:rsidRDefault="00800BE7">
      <w:pPr>
        <w:widowControl/>
        <w:jc w:val="both"/>
      </w:pPr>
    </w:p>
    <w:p w:rsidR="00800BE7" w:rsidRDefault="00800BE7">
      <w:pPr>
        <w:widowControl/>
        <w:ind w:firstLine="720"/>
        <w:jc w:val="both"/>
      </w:pPr>
      <w:r>
        <w:rPr>
          <w:b/>
          <w:bCs/>
        </w:rPr>
        <w:t>1.2  Amortization Schedule.</w:t>
      </w:r>
      <w:r>
        <w:t xml:space="preserve">  Borrower shall pay to Lender on or before each anniversary date of this note, such amount as is indicated on the amortization schedule attached to this note and made part thereof, such payment constituting the sum of the principal and interest owed on that date, as also reflected in such amortization schedule.  Borrower and Lender agree that this amortization schedule is accurate and will control, absent any prepayment.  Both parties also agree to report their interest and principal payments and balances for tax and financial purposes according to this schedule.</w:t>
      </w:r>
    </w:p>
    <w:p w:rsidR="00800BE7" w:rsidRDefault="00800BE7">
      <w:pPr>
        <w:widowControl/>
        <w:jc w:val="both"/>
      </w:pPr>
    </w:p>
    <w:p w:rsidR="00800BE7" w:rsidRDefault="00800BE7">
      <w:pPr>
        <w:widowControl/>
        <w:ind w:firstLine="720"/>
        <w:jc w:val="both"/>
      </w:pPr>
      <w:r>
        <w:rPr>
          <w:b/>
          <w:bCs/>
        </w:rPr>
        <w:t>1.3  Holidays.</w:t>
      </w:r>
      <w:r>
        <w:t xml:space="preserve">  If the anniversary date of this note falls on a Saturday, a Sunday, or a day that is a legal holiday under the laws of the United States, the payment for that year shall be due on the next succeeding business day.</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1.4  Timely Payment Defined.</w:t>
      </w:r>
      <w:r>
        <w:t xml:space="preserve">  Payment is timely made if it is actually received by Lender or his legal representatives on or before the date on which it is due, or if it is mailed </w:t>
      </w:r>
      <w:r>
        <w:lastRenderedPageBreak/>
        <w:t>by the United States Postal Service and is postmarked on or before the date on which it is due.</w:t>
      </w:r>
    </w:p>
    <w:p w:rsidR="00800BE7" w:rsidRDefault="00800BE7">
      <w:pPr>
        <w:widowControl/>
        <w:jc w:val="both"/>
      </w:pPr>
    </w:p>
    <w:p w:rsidR="00800BE7" w:rsidRDefault="00800BE7">
      <w:pPr>
        <w:widowControl/>
        <w:ind w:firstLine="720"/>
        <w:jc w:val="both"/>
      </w:pPr>
      <w:r>
        <w:rPr>
          <w:b/>
          <w:bCs/>
        </w:rPr>
        <w:t>1.5  Medium of Payment.</w:t>
      </w:r>
      <w:r>
        <w:t xml:space="preserve">  Payment may be made by cash, personal check, certified check, cashier's check, money order, or any other additional means acceptable to Lender.</w:t>
      </w:r>
    </w:p>
    <w:p w:rsidR="00800BE7" w:rsidRDefault="00800BE7">
      <w:pPr>
        <w:widowControl/>
        <w:jc w:val="both"/>
      </w:pPr>
    </w:p>
    <w:p w:rsidR="00800BE7" w:rsidRDefault="00800BE7">
      <w:pPr>
        <w:widowControl/>
        <w:ind w:firstLine="720"/>
        <w:jc w:val="both"/>
      </w:pPr>
      <w:r>
        <w:rPr>
          <w:b/>
          <w:bCs/>
        </w:rPr>
        <w:t>1.6  Where Payment Made.</w:t>
      </w:r>
      <w:r>
        <w:t xml:space="preserve">  Payment may be made to Lender at Lender’s address indicated above, or at such other place as Lender shall designate in writing from time to time.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rPr>
          <w:b/>
          <w:bCs/>
        </w:rPr>
      </w:pPr>
      <w:r>
        <w:tab/>
      </w:r>
      <w:r>
        <w:rPr>
          <w:b/>
          <w:bCs/>
        </w:rPr>
        <w:t>Section 2.  No Prepayment</w:t>
      </w:r>
    </w:p>
    <w:p w:rsidR="00800BE7" w:rsidRDefault="00800BE7">
      <w:pPr>
        <w:widowControl/>
        <w:jc w:val="both"/>
        <w:rPr>
          <w:b/>
          <w:bCs/>
        </w:rPr>
      </w:pPr>
    </w:p>
    <w:p w:rsidR="00800BE7" w:rsidRDefault="00800BE7">
      <w:pPr>
        <w:widowControl/>
        <w:ind w:firstLine="720"/>
        <w:jc w:val="both"/>
      </w:pPr>
      <w:r>
        <w:t>Borrower may not prepay all or any portion of the principal balance of this note at any time.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rPr>
        <w:t>Section 3.  Negotiability</w:t>
      </w:r>
    </w:p>
    <w:p w:rsidR="00800BE7" w:rsidRDefault="00800BE7">
      <w:pPr>
        <w:widowControl/>
        <w:jc w:val="both"/>
      </w:pPr>
    </w:p>
    <w:p w:rsidR="00800BE7" w:rsidRDefault="00800BE7">
      <w:pPr>
        <w:widowControl/>
        <w:ind w:firstLine="720"/>
        <w:jc w:val="both"/>
      </w:pPr>
      <w:r>
        <w:t>This promissory note is negotiable.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rPr>
        <w:t>Section 4.  Security</w:t>
      </w:r>
    </w:p>
    <w:p w:rsidR="00800BE7" w:rsidRDefault="00800BE7">
      <w:pPr>
        <w:widowControl/>
        <w:jc w:val="both"/>
      </w:pPr>
    </w:p>
    <w:p w:rsidR="00800BE7" w:rsidRDefault="00800BE7">
      <w:pPr>
        <w:widowControl/>
        <w:ind w:firstLine="720"/>
        <w:jc w:val="both"/>
      </w:pPr>
      <w:r>
        <w:t>This note is not secured by any specific property, but by the full assets of Borrower, includ</w:t>
      </w:r>
      <w:r>
        <w:softHyphen/>
        <w:t>ing all assets hereafter acquired.</w:t>
      </w:r>
    </w:p>
    <w:p w:rsidR="00800BE7" w:rsidRDefault="00800BE7">
      <w:pPr>
        <w:widowControl/>
        <w:jc w:val="both"/>
      </w:pPr>
    </w:p>
    <w:p w:rsidR="00800BE7" w:rsidRDefault="00800BE7">
      <w:pPr>
        <w:widowControl/>
        <w:jc w:val="both"/>
      </w:pPr>
    </w:p>
    <w:p w:rsidR="00800BE7" w:rsidRDefault="00800BE7">
      <w:pPr>
        <w:keepNext/>
        <w:keepLines/>
        <w:widowControl/>
        <w:tabs>
          <w:tab w:val="center" w:pos="4682"/>
        </w:tabs>
        <w:jc w:val="both"/>
      </w:pPr>
      <w:r>
        <w:tab/>
      </w:r>
      <w:r>
        <w:rPr>
          <w:b/>
          <w:bCs/>
        </w:rPr>
        <w:t>Section 5.  Default</w:t>
      </w:r>
    </w:p>
    <w:p w:rsidR="00800BE7" w:rsidRDefault="00800BE7">
      <w:pPr>
        <w:keepNext/>
        <w:keepLines/>
        <w:widowControl/>
        <w:jc w:val="both"/>
      </w:pPr>
    </w:p>
    <w:p w:rsidR="00800BE7" w:rsidRDefault="00800BE7">
      <w:pPr>
        <w:keepLines/>
        <w:widowControl/>
        <w:ind w:firstLine="720"/>
        <w:jc w:val="both"/>
      </w:pPr>
      <w:r>
        <w:rPr>
          <w:b/>
          <w:bCs/>
        </w:rPr>
        <w:t>5.1  Default Defined.</w:t>
      </w:r>
      <w:r>
        <w:t xml:space="preserve">  Borrower will be in default if Borrower fails to pay any installment of principal or interest when due and does not cure his deficiency within thirty (30) calendar days of the date the payment was due.</w:t>
      </w:r>
    </w:p>
    <w:p w:rsidR="00800BE7" w:rsidRDefault="00800BE7">
      <w:pPr>
        <w:widowControl/>
        <w:jc w:val="both"/>
      </w:pPr>
    </w:p>
    <w:p w:rsidR="00800BE7" w:rsidRDefault="00800BE7">
      <w:pPr>
        <w:widowControl/>
        <w:ind w:firstLine="720"/>
        <w:jc w:val="both"/>
      </w:pPr>
      <w:r>
        <w:rPr>
          <w:b/>
          <w:bCs/>
        </w:rPr>
        <w:t>5.2  Acceleration.</w:t>
      </w:r>
      <w:r>
        <w:t xml:space="preserve">  Whenever Borrower is in default, Lender may declare the entire principal balance in default, and immediately due and payable.</w:t>
      </w:r>
    </w:p>
    <w:p w:rsidR="00800BE7" w:rsidRDefault="00800BE7">
      <w:pPr>
        <w:widowControl/>
        <w:jc w:val="both"/>
      </w:pPr>
    </w:p>
    <w:p w:rsidR="00800BE7" w:rsidRDefault="00800BE7">
      <w:pPr>
        <w:widowControl/>
        <w:ind w:firstLine="720"/>
        <w:jc w:val="both"/>
      </w:pPr>
      <w:r>
        <w:rPr>
          <w:b/>
          <w:bCs/>
        </w:rPr>
        <w:t>5.3  Lender's Remedies.</w:t>
      </w:r>
      <w:r>
        <w:t xml:space="preserve">  Upon any default, Lender may take such other legal actions as he deems necessary or appropriate to collect the amounts in default.</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rPr>
          <w:b/>
          <w:bCs/>
        </w:rPr>
        <w:lastRenderedPageBreak/>
        <w:t>5.4  Confession of Judgment.</w:t>
      </w:r>
      <w:r>
        <w:t xml:space="preserve">  Upon any default, except where prohibited by law, Borrower empowers any attorney of any court of record within [</w:t>
      </w:r>
      <w:r>
        <w:rPr>
          <w:u w:val="single"/>
        </w:rPr>
        <w:t>state</w:t>
      </w:r>
      <w:r>
        <w:t xml:space="preserve">] to appear for him and, after one or more declarations or complaints have been filed, to confess judgment against </w:t>
      </w:r>
      <w:r>
        <w:lastRenderedPageBreak/>
        <w:t>Borrower for any sums due under this instrument, including attorney's fees of twenty-five percent (25%) percent of the outstanding principal balance of the debt evidenced by this instrument.  All exemptions from levy, garnishment, attach</w:t>
      </w:r>
      <w:r>
        <w:softHyphen/>
        <w:t>ment, or seizure of assets are hereby waived by Borrower with respect to amounts due under this instrument.</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rPr>
        <w:t>Section 6.  Cancellation</w:t>
      </w:r>
    </w:p>
    <w:p w:rsidR="00800BE7" w:rsidRDefault="00800BE7">
      <w:pPr>
        <w:widowControl/>
        <w:jc w:val="both"/>
      </w:pPr>
    </w:p>
    <w:p w:rsidR="00800BE7" w:rsidRDefault="00800BE7">
      <w:pPr>
        <w:widowControl/>
        <w:ind w:firstLine="720"/>
        <w:jc w:val="both"/>
      </w:pPr>
      <w:r>
        <w:t>Upon payment of all principal and interest required to be paid under this note, Lender will return to Borrower all copies of this note, marked CANCELED/PAID IN FULL, and all of Borrower's obligations under this note will be terminated.</w:t>
      </w:r>
    </w:p>
    <w:p w:rsidR="00800BE7" w:rsidRDefault="00800BE7">
      <w:pPr>
        <w:widowControl/>
        <w:jc w:val="both"/>
      </w:pPr>
    </w:p>
    <w:p w:rsidR="00800BE7" w:rsidRDefault="00800BE7">
      <w:pPr>
        <w:widowControl/>
        <w:jc w:val="both"/>
      </w:pPr>
    </w:p>
    <w:p w:rsidR="00800BE7" w:rsidRDefault="00800BE7">
      <w:pPr>
        <w:keepNext/>
        <w:keepLines/>
        <w:widowControl/>
        <w:tabs>
          <w:tab w:val="center" w:pos="4682"/>
        </w:tabs>
        <w:jc w:val="both"/>
      </w:pPr>
      <w:r>
        <w:tab/>
      </w:r>
      <w:r>
        <w:rPr>
          <w:b/>
          <w:bCs/>
        </w:rPr>
        <w:t>Section 7.  Construction</w:t>
      </w:r>
    </w:p>
    <w:p w:rsidR="00800BE7" w:rsidRDefault="00800BE7">
      <w:pPr>
        <w:keepNext/>
        <w:keepLines/>
        <w:widowControl/>
        <w:jc w:val="both"/>
      </w:pPr>
    </w:p>
    <w:p w:rsidR="00800BE7" w:rsidRDefault="00800BE7">
      <w:pPr>
        <w:keepLines/>
        <w:widowControl/>
        <w:ind w:firstLine="720"/>
        <w:jc w:val="both"/>
      </w:pPr>
      <w:r>
        <w:rPr>
          <w:b/>
          <w:bCs/>
        </w:rPr>
        <w:t>7.1  Choice of Law.</w:t>
      </w:r>
      <w:r>
        <w:t xml:space="preserve">  This note, and the parties' rights and lia</w:t>
      </w:r>
      <w:r>
        <w:softHyphen/>
        <w:t>bilities thereunder, shall be construed under the law of [</w:t>
      </w:r>
      <w:r>
        <w:rPr>
          <w:u w:val="single"/>
        </w:rPr>
        <w:t>state</w:t>
      </w:r>
      <w:r>
        <w:t>].</w:t>
      </w:r>
    </w:p>
    <w:p w:rsidR="00800BE7" w:rsidRDefault="00800BE7">
      <w:pPr>
        <w:widowControl/>
        <w:jc w:val="both"/>
      </w:pPr>
    </w:p>
    <w:p w:rsidR="00800BE7" w:rsidRDefault="00800BE7">
      <w:pPr>
        <w:widowControl/>
        <w:ind w:firstLine="720"/>
        <w:jc w:val="both"/>
      </w:pPr>
      <w:r>
        <w:rPr>
          <w:b/>
          <w:bCs/>
        </w:rPr>
        <w:t>7.2  No Presumption Against Drafter.</w:t>
      </w:r>
      <w:r>
        <w:t xml:space="preserve">  This note shall be construed with no presumption against Borrower or against Lender based on the writing of this note by counsel to one of them.</w:t>
      </w:r>
    </w:p>
    <w:p w:rsidR="00800BE7" w:rsidRDefault="00800BE7">
      <w:pPr>
        <w:widowControl/>
        <w:jc w:val="both"/>
      </w:pPr>
    </w:p>
    <w:p w:rsidR="00800BE7" w:rsidRDefault="00800BE7">
      <w:pPr>
        <w:widowControl/>
        <w:ind w:firstLine="720"/>
        <w:jc w:val="both"/>
      </w:pPr>
      <w:r>
        <w:rPr>
          <w:b/>
          <w:bCs/>
        </w:rPr>
        <w:t>7.3  Number.</w:t>
      </w:r>
      <w:r>
        <w:t xml:space="preserve">  In construing this Note, the singular shall include the plural and the plural the singular.</w:t>
      </w:r>
    </w:p>
    <w:p w:rsidR="00800BE7" w:rsidRDefault="00800BE7">
      <w:pPr>
        <w:widowControl/>
        <w:jc w:val="both"/>
      </w:pPr>
    </w:p>
    <w:p w:rsidR="00800BE7" w:rsidRDefault="00800BE7">
      <w:pPr>
        <w:widowControl/>
        <w:jc w:val="both"/>
      </w:pPr>
    </w:p>
    <w:p w:rsidR="00800BE7" w:rsidRDefault="00800BE7">
      <w:pPr>
        <w:widowControl/>
        <w:ind w:firstLine="720"/>
        <w:jc w:val="both"/>
      </w:pPr>
      <w:r>
        <w:t>AGREED on the date first written above.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t>[</w:t>
      </w:r>
      <w:r>
        <w:rPr>
          <w:u w:val="single"/>
        </w:rPr>
        <w:t>Signatures, notary clauses and amortization schedule]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4.</w:t>
      </w:r>
      <w:r>
        <w:rPr>
          <w:b/>
          <w:bCs/>
        </w:rPr>
        <w:tab/>
        <w:t>Defined Value Deed of Gift – Based on</w:t>
      </w:r>
      <w:r>
        <w:rPr>
          <w:b/>
          <w:bCs/>
          <w:i/>
          <w:iCs/>
        </w:rPr>
        <w:t xml:space="preserve"> Estate of Petter v. Comm'r</w:t>
      </w:r>
      <w:r>
        <w:rPr>
          <w:b/>
          <w:bCs/>
        </w:rPr>
        <w:t xml:space="preserve">, T.C. Memo. 2009-280, </w:t>
      </w:r>
      <w:r>
        <w:rPr>
          <w:b/>
          <w:bCs/>
          <w:i/>
          <w:iCs/>
        </w:rPr>
        <w:t>aff’d</w:t>
      </w:r>
      <w:r>
        <w:rPr>
          <w:b/>
          <w:bCs/>
        </w:rPr>
        <w:t>, ___ F.3d ___, 2011 WL 3332532, 108 A.F.T.R.2d 2011</w:t>
      </w:r>
      <w:r>
        <w:rPr>
          <w:b/>
          <w:bCs/>
        </w:rPr>
        <w:noBreakHyphen/>
        <w:t>5593 (9</w:t>
      </w:r>
      <w:r>
        <w:rPr>
          <w:b/>
          <w:bCs/>
          <w:vertAlign w:val="superscript"/>
        </w:rPr>
        <w:t>th</w:t>
      </w:r>
      <w:r>
        <w:rPr>
          <w:b/>
          <w:bCs/>
        </w:rPr>
        <w:t xml:space="preserve"> Cir. Aug. 4, 2011); and </w:t>
      </w:r>
      <w:r>
        <w:rPr>
          <w:b/>
          <w:bCs/>
          <w:i/>
          <w:iCs/>
        </w:rPr>
        <w:t>Hendrix v. Comm’r</w:t>
      </w:r>
      <w:r>
        <w:rPr>
          <w:b/>
          <w:bCs/>
        </w:rPr>
        <w:t>, T.C. Memo. 2011-133 (June 15, 2011)</w:t>
      </w:r>
      <w:r w:rsidR="00BC7053">
        <w:rPr>
          <w:b/>
          <w:bCs/>
        </w:rPr>
        <w:fldChar w:fldCharType="begin"/>
      </w:r>
      <w:r>
        <w:rPr>
          <w:b/>
          <w:bCs/>
        </w:rPr>
        <w:instrText>tc \l1 "4.</w:instrText>
      </w:r>
      <w:r>
        <w:rPr>
          <w:b/>
          <w:bCs/>
        </w:rPr>
        <w:tab/>
        <w:instrText>Defined Value Deed of Gift – Based on</w:instrText>
      </w:r>
      <w:r>
        <w:rPr>
          <w:b/>
          <w:bCs/>
          <w:i/>
          <w:iCs/>
        </w:rPr>
        <w:instrText xml:space="preserve"> Estate of Petter v. Comm'r</w:instrText>
      </w:r>
      <w:r>
        <w:rPr>
          <w:b/>
          <w:bCs/>
        </w:rPr>
        <w:instrText xml:space="preserve">, T.C. Memo. 2009-280, </w:instrText>
      </w:r>
      <w:r>
        <w:rPr>
          <w:b/>
          <w:bCs/>
          <w:i/>
          <w:iCs/>
        </w:rPr>
        <w:instrText>aff’d</w:instrText>
      </w:r>
      <w:r>
        <w:rPr>
          <w:b/>
          <w:bCs/>
        </w:rPr>
        <w:instrText>, ___ F.3d ___, 2011 WL 3332532, 108 A.F.T.R.2d 2011</w:instrText>
      </w:r>
      <w:r>
        <w:rPr>
          <w:b/>
          <w:bCs/>
        </w:rPr>
        <w:noBreakHyphen/>
        <w:instrText>5593 (9</w:instrText>
      </w:r>
      <w:r>
        <w:rPr>
          <w:b/>
          <w:bCs/>
          <w:vertAlign w:val="superscript"/>
        </w:rPr>
        <w:instrText>th</w:instrText>
      </w:r>
      <w:r>
        <w:rPr>
          <w:b/>
          <w:bCs/>
        </w:rPr>
        <w:instrText xml:space="preserve"> Cir. Aug. 4, 2011); and </w:instrText>
      </w:r>
      <w:r>
        <w:rPr>
          <w:b/>
          <w:bCs/>
          <w:i/>
          <w:iCs/>
        </w:rPr>
        <w:instrText>Hendrix v. Comm’r</w:instrText>
      </w:r>
      <w:r>
        <w:rPr>
          <w:b/>
          <w:bCs/>
        </w:rPr>
        <w:instrText>, T.C. Memo. 2011-133 (June 15, 2011)</w:instrText>
      </w:r>
      <w:r w:rsidR="00BC7053">
        <w:rPr>
          <w:b/>
          <w:bCs/>
        </w:rPr>
        <w:fldChar w:fldCharType="end"/>
      </w:r>
      <w:r>
        <w:rPr>
          <w:rStyle w:val="FootnoteReference"/>
          <w:vertAlign w:val="superscript"/>
        </w:rPr>
        <w:footnoteReference w:id="6"/>
      </w:r>
    </w:p>
    <w:p w:rsidR="00800BE7" w:rsidRDefault="00800BE7">
      <w:pPr>
        <w:widowControl/>
        <w:jc w:val="both"/>
      </w:pPr>
    </w:p>
    <w:p w:rsidR="00800BE7" w:rsidRDefault="00800BE7">
      <w:pPr>
        <w:widowControl/>
        <w:tabs>
          <w:tab w:val="center" w:pos="4682"/>
        </w:tabs>
        <w:jc w:val="both"/>
      </w:pPr>
      <w:r>
        <w:tab/>
      </w:r>
      <w:r>
        <w:rPr>
          <w:b/>
          <w:bCs/>
        </w:rPr>
        <w:t>DEED OF GIFT</w:t>
      </w:r>
    </w:p>
    <w:p w:rsidR="00800BE7" w:rsidRDefault="00800BE7">
      <w:pPr>
        <w:widowControl/>
        <w:jc w:val="both"/>
      </w:pPr>
    </w:p>
    <w:p w:rsidR="00800BE7" w:rsidRDefault="00800BE7">
      <w:pPr>
        <w:widowControl/>
        <w:jc w:val="both"/>
      </w:pPr>
    </w:p>
    <w:p w:rsidR="00800BE7" w:rsidRDefault="00800BE7">
      <w:pPr>
        <w:widowControl/>
        <w:ind w:firstLine="720"/>
        <w:jc w:val="both"/>
      </w:pPr>
      <w:r>
        <w:t>On [</w:t>
      </w:r>
      <w:r>
        <w:rPr>
          <w:u w:val="single"/>
        </w:rPr>
        <w:t>date</w:t>
      </w:r>
      <w:r>
        <w:t>], I, *Grantor* (sometimes referred to in the first person and sometimes as “*Short4forGrantor*”), do hereby make this declaration of gift, in order to give certain property to various parties, as described below.</w:t>
      </w:r>
    </w:p>
    <w:p w:rsidR="00800BE7" w:rsidRDefault="00800BE7">
      <w:pPr>
        <w:widowControl/>
        <w:jc w:val="both"/>
      </w:pPr>
    </w:p>
    <w:p w:rsidR="00800BE7" w:rsidRDefault="00800BE7">
      <w:pPr>
        <w:widowControl/>
        <w:tabs>
          <w:tab w:val="center" w:pos="4682"/>
        </w:tabs>
        <w:jc w:val="both"/>
      </w:pPr>
      <w:r>
        <w:tab/>
      </w:r>
      <w:r>
        <w:rPr>
          <w:b/>
          <w:bCs/>
        </w:rPr>
        <w:t> Recitals:</w:t>
      </w:r>
    </w:p>
    <w:p w:rsidR="00800BE7" w:rsidRDefault="00800BE7">
      <w:pPr>
        <w:widowControl/>
        <w:jc w:val="both"/>
      </w:pPr>
    </w:p>
    <w:p w:rsidR="00800BE7" w:rsidRDefault="00800BE7">
      <w:pPr>
        <w:widowControl/>
        <w:ind w:firstLine="720"/>
        <w:jc w:val="both"/>
      </w:pPr>
      <w:r>
        <w:rPr>
          <w:b/>
          <w:bCs/>
        </w:rPr>
        <w:t>A.</w:t>
      </w:r>
      <w:r>
        <w:t xml:space="preserve">  I own [number] of units of membership interest in [name of LLC] (my “Units of Membership Interest” or the "Units"); and</w:t>
      </w:r>
    </w:p>
    <w:p w:rsidR="00800BE7" w:rsidRDefault="00800BE7">
      <w:pPr>
        <w:widowControl/>
        <w:jc w:val="both"/>
      </w:pPr>
    </w:p>
    <w:p w:rsidR="00800BE7" w:rsidRDefault="00800BE7">
      <w:pPr>
        <w:widowControl/>
        <w:ind w:firstLine="720"/>
        <w:jc w:val="both"/>
      </w:pPr>
      <w:r>
        <w:rPr>
          <w:b/>
          <w:bCs/>
        </w:rPr>
        <w:t>B.</w:t>
      </w:r>
      <w:r>
        <w:t xml:space="preserve">  I wish to give part of my Units of Membership Interest to *Noncharitable</w:t>
      </w:r>
      <w:r>
        <w:softHyphen/>
        <w:t>Donee* (sometimes referred to as *Short4NoncharitableDonee*); and</w:t>
      </w:r>
    </w:p>
    <w:p w:rsidR="00800BE7" w:rsidRDefault="00800BE7">
      <w:pPr>
        <w:widowControl/>
        <w:jc w:val="both"/>
      </w:pPr>
    </w:p>
    <w:p w:rsidR="00800BE7" w:rsidRDefault="00800BE7">
      <w:pPr>
        <w:widowControl/>
        <w:ind w:firstLine="720"/>
        <w:jc w:val="both"/>
      </w:pPr>
      <w:r>
        <w:rPr>
          <w:b/>
          <w:bCs/>
        </w:rPr>
        <w:t>C.</w:t>
      </w:r>
      <w:r>
        <w:t xml:space="preserve">  I also wish to give part of my Units of Membership Interest to *Charity*; and</w:t>
      </w:r>
    </w:p>
    <w:p w:rsidR="00800BE7" w:rsidRDefault="00800BE7">
      <w:pPr>
        <w:widowControl/>
        <w:jc w:val="both"/>
      </w:pPr>
    </w:p>
    <w:p w:rsidR="00800BE7" w:rsidRDefault="00800BE7">
      <w:pPr>
        <w:widowControl/>
        <w:ind w:firstLine="720"/>
        <w:jc w:val="both"/>
      </w:pPr>
      <w:r>
        <w:rPr>
          <w:b/>
          <w:bCs/>
        </w:rPr>
        <w:t>D.</w:t>
      </w:r>
      <w:r>
        <w:t xml:space="preserve">  I do not wish to incur any federal gift tax on this transfer; and</w:t>
      </w:r>
    </w:p>
    <w:p w:rsidR="00800BE7" w:rsidRDefault="00800BE7">
      <w:pPr>
        <w:widowControl/>
        <w:jc w:val="both"/>
      </w:pPr>
    </w:p>
    <w:p w:rsidR="00800BE7" w:rsidRDefault="00800BE7">
      <w:pPr>
        <w:widowControl/>
        <w:jc w:val="both"/>
      </w:pPr>
      <w:r>
        <w:rPr>
          <w:b/>
          <w:bCs/>
        </w:rPr>
        <w:lastRenderedPageBreak/>
        <w:t> </w:t>
      </w:r>
      <w:r>
        <w:rPr>
          <w:b/>
          <w:bCs/>
        </w:rPr>
        <w:tab/>
        <w:t>E.</w:t>
      </w:r>
      <w:r>
        <w:t xml:space="preserve">  *Short4NoncharitableDonee* and *Charity* wish to receive these gifts, on the terms and subject to the conditions set forth in this agreement;</w:t>
      </w: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ind w:firstLine="720"/>
        <w:jc w:val="both"/>
      </w:pPr>
      <w:r>
        <w:lastRenderedPageBreak/>
        <w:t>NOW, THEREFORE, I do hereby make the following gifts:</w:t>
      </w:r>
    </w:p>
    <w:p w:rsidR="00800BE7" w:rsidRDefault="00800BE7">
      <w:pPr>
        <w:widowControl/>
        <w:jc w:val="both"/>
      </w:pPr>
    </w:p>
    <w:p w:rsidR="00800BE7" w:rsidRDefault="00800BE7">
      <w:pPr>
        <w:widowControl/>
        <w:jc w:val="both"/>
      </w:pPr>
    </w:p>
    <w:p w:rsidR="00800BE7" w:rsidRDefault="00800BE7">
      <w:pPr>
        <w:keepNext/>
        <w:keepLines/>
        <w:widowControl/>
        <w:tabs>
          <w:tab w:val="center" w:pos="4682"/>
        </w:tabs>
        <w:jc w:val="both"/>
      </w:pPr>
      <w:r>
        <w:tab/>
      </w:r>
      <w:r>
        <w:rPr>
          <w:b/>
          <w:bCs/>
        </w:rPr>
        <w:t>Article 1.  Gift to *NoncharitableDonee*</w:t>
      </w:r>
    </w:p>
    <w:p w:rsidR="00800BE7" w:rsidRDefault="00800BE7">
      <w:pPr>
        <w:keepNext/>
        <w:keepLines/>
        <w:widowControl/>
        <w:jc w:val="both"/>
      </w:pPr>
    </w:p>
    <w:p w:rsidR="00800BE7" w:rsidRDefault="00800BE7">
      <w:pPr>
        <w:keepLines/>
        <w:widowControl/>
        <w:ind w:firstLine="720"/>
        <w:jc w:val="both"/>
      </w:pPr>
      <w:r>
        <w:t>I hereby give and transfer to *Short4NoncharitableDonee* that number of units of Membership Interest the value of which is equal to the maximum dollar amount that can pass free of federal gift tax by reason of my applicable exclusion amount allowed by Code Section 2010(c), as finally determined for federal gift tax purposes.  I understand that my unused applicable exclusion amount to be One Million Dollars ($1,000,000), so that the amount of this gift to “Short4NoncharitableDonee” should be One Million Dollars ($1,000,000).</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r>
      <w:r>
        <w:rPr>
          <w:b/>
          <w:bCs/>
        </w:rPr>
        <w:t>Article 2.  Gift to *Charity*</w:t>
      </w:r>
    </w:p>
    <w:p w:rsidR="00800BE7" w:rsidRDefault="00800BE7">
      <w:pPr>
        <w:widowControl/>
        <w:jc w:val="both"/>
      </w:pPr>
    </w:p>
    <w:p w:rsidR="00800BE7" w:rsidRDefault="00800BE7">
      <w:pPr>
        <w:widowControl/>
        <w:ind w:firstLine="720"/>
        <w:jc w:val="both"/>
      </w:pPr>
      <w:r>
        <w:t>I also hereby give and transfer to *Charity* all of my Units of Membership Interest remaining after my gift to *Short4NoncharitableDonee* under Article 1.  This gift shall be held and applied by *Charity* for its general charitable purposes.</w:t>
      </w:r>
    </w:p>
    <w:p w:rsidR="00800BE7" w:rsidRDefault="00800BE7">
      <w:pPr>
        <w:widowControl/>
        <w:jc w:val="both"/>
      </w:pPr>
    </w:p>
    <w:p w:rsidR="00800BE7" w:rsidRDefault="00800BE7">
      <w:pPr>
        <w:widowControl/>
        <w:jc w:val="both"/>
      </w:pPr>
    </w:p>
    <w:p w:rsidR="00800BE7" w:rsidRDefault="00800BE7">
      <w:pPr>
        <w:widowControl/>
        <w:tabs>
          <w:tab w:val="center" w:pos="4682"/>
        </w:tabs>
        <w:jc w:val="both"/>
        <w:rPr>
          <w:b/>
          <w:bCs/>
        </w:rPr>
      </w:pPr>
      <w:r>
        <w:tab/>
      </w:r>
      <w:r>
        <w:rPr>
          <w:b/>
          <w:bCs/>
        </w:rPr>
        <w:t>Article 3.  Condition on Gift to *NoncharitableDonee*</w:t>
      </w:r>
    </w:p>
    <w:p w:rsidR="00800BE7" w:rsidRDefault="00800BE7">
      <w:pPr>
        <w:widowControl/>
        <w:jc w:val="both"/>
      </w:pPr>
    </w:p>
    <w:p w:rsidR="00800BE7" w:rsidRDefault="00800BE7">
      <w:pPr>
        <w:widowControl/>
        <w:ind w:firstLine="720"/>
        <w:jc w:val="both"/>
      </w:pPr>
      <w:r>
        <w:t>*Short4NoncharitableDonee* agrees that, if the value of my Units of Membership Interest given to *him/her/it* under Article 1 is finally determined for federal gift tax purposes to exceed the maximum dollar amount that can pass free of federal gift tax by reason of my applicable exclusion amount allowed by Code Section 2010(c), as finally determined for federal gift tax purposes, *he/she/it* will, as a condition of the gift under Article 1, transfer the excess Units to *Charity* as soon as practicable.</w:t>
      </w:r>
    </w:p>
    <w:p w:rsidR="00800BE7" w:rsidRDefault="00800BE7">
      <w:pPr>
        <w:widowControl/>
        <w:jc w:val="both"/>
      </w:pPr>
    </w:p>
    <w:p w:rsidR="00800BE7" w:rsidRDefault="00800BE7">
      <w:pPr>
        <w:widowControl/>
        <w:jc w:val="both"/>
      </w:pPr>
    </w:p>
    <w:p w:rsidR="00800BE7" w:rsidRDefault="00800BE7">
      <w:pPr>
        <w:widowControl/>
        <w:tabs>
          <w:tab w:val="center" w:pos="4682"/>
        </w:tabs>
        <w:jc w:val="both"/>
      </w:pPr>
      <w:r>
        <w:tab/>
        <w:t>[</w:t>
      </w:r>
      <w:r>
        <w:rPr>
          <w:u w:val="single"/>
        </w:rPr>
        <w:t>signature and notarial clause</w:t>
      </w:r>
      <w:r>
        <w:t>]</w:t>
      </w: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 xml:space="preserve">5. </w:t>
      </w:r>
      <w:r>
        <w:rPr>
          <w:b/>
          <w:bCs/>
        </w:rPr>
        <w:tab/>
        <w:t>IRS/Treasury Priority Guidance List for 2012 – Issues Related to Estate Planning</w:t>
      </w:r>
      <w:r w:rsidR="00BC7053">
        <w:rPr>
          <w:b/>
          <w:bCs/>
        </w:rPr>
        <w:fldChar w:fldCharType="begin"/>
      </w:r>
      <w:r>
        <w:rPr>
          <w:b/>
          <w:bCs/>
        </w:rPr>
        <w:instrText xml:space="preserve">tc \l1 "5. </w:instrText>
      </w:r>
      <w:r>
        <w:rPr>
          <w:b/>
          <w:bCs/>
        </w:rPr>
        <w:tab/>
        <w:instrText>IRS/Treasury Priority Guidance List for 2012 – Issues Related to Estate Planning</w:instrText>
      </w:r>
      <w:r w:rsidR="00BC7053">
        <w:rPr>
          <w:b/>
          <w:bCs/>
        </w:rPr>
        <w:fldChar w:fldCharType="end"/>
      </w:r>
    </w:p>
    <w:p w:rsidR="00800BE7" w:rsidRDefault="00800BE7">
      <w:pPr>
        <w:widowControl/>
        <w:jc w:val="both"/>
      </w:pPr>
    </w:p>
    <w:p w:rsidR="00800BE7" w:rsidRDefault="00800BE7">
      <w:pPr>
        <w:widowControl/>
        <w:jc w:val="both"/>
      </w:pPr>
    </w:p>
    <w:p w:rsidR="00800BE7" w:rsidRDefault="00800BE7">
      <w:pPr>
        <w:widowControl/>
        <w:tabs>
          <w:tab w:val="center" w:pos="4682"/>
        </w:tabs>
        <w:jc w:val="both"/>
        <w:rPr>
          <w:b/>
          <w:bCs/>
        </w:rPr>
      </w:pPr>
      <w:r>
        <w:tab/>
      </w:r>
      <w:r>
        <w:rPr>
          <w:b/>
          <w:bCs/>
        </w:rPr>
        <w:t>DEPARTMENT OF THE TREASURY</w:t>
      </w:r>
    </w:p>
    <w:p w:rsidR="00800BE7" w:rsidRDefault="00800BE7">
      <w:pPr>
        <w:widowControl/>
        <w:tabs>
          <w:tab w:val="center" w:pos="4682"/>
        </w:tabs>
        <w:jc w:val="both"/>
        <w:rPr>
          <w:b/>
          <w:bCs/>
          <w:sz w:val="22"/>
          <w:szCs w:val="22"/>
        </w:rPr>
      </w:pPr>
      <w:r>
        <w:rPr>
          <w:b/>
          <w:bCs/>
        </w:rPr>
        <w:tab/>
      </w:r>
      <w:r>
        <w:rPr>
          <w:b/>
          <w:bCs/>
          <w:sz w:val="22"/>
          <w:szCs w:val="22"/>
        </w:rPr>
        <w:t>Washington, DC 20220</w:t>
      </w:r>
    </w:p>
    <w:p w:rsidR="00800BE7" w:rsidRDefault="00800BE7">
      <w:pPr>
        <w:widowControl/>
        <w:tabs>
          <w:tab w:val="center" w:pos="4682"/>
        </w:tabs>
        <w:jc w:val="both"/>
      </w:pPr>
      <w:r>
        <w:tab/>
      </w:r>
    </w:p>
    <w:p w:rsidR="00800BE7" w:rsidRDefault="00800BE7">
      <w:pPr>
        <w:widowControl/>
        <w:tabs>
          <w:tab w:val="center" w:pos="4682"/>
        </w:tabs>
        <w:jc w:val="both"/>
        <w:rPr>
          <w:b/>
          <w:bCs/>
        </w:rPr>
      </w:pPr>
      <w:r>
        <w:rPr>
          <w:b/>
          <w:bCs/>
        </w:rPr>
        <w:tab/>
        <w:t>OFFICE OF TAX POLICY</w:t>
      </w:r>
    </w:p>
    <w:p w:rsidR="00800BE7" w:rsidRDefault="00800BE7">
      <w:pPr>
        <w:widowControl/>
        <w:tabs>
          <w:tab w:val="center" w:pos="4682"/>
        </w:tabs>
        <w:jc w:val="both"/>
        <w:rPr>
          <w:b/>
          <w:bCs/>
        </w:rPr>
      </w:pPr>
      <w:r>
        <w:rPr>
          <w:b/>
          <w:bCs/>
        </w:rPr>
        <w:tab/>
        <w:t>AND</w:t>
      </w:r>
    </w:p>
    <w:p w:rsidR="00800BE7" w:rsidRDefault="00800BE7">
      <w:pPr>
        <w:widowControl/>
        <w:tabs>
          <w:tab w:val="center" w:pos="4682"/>
        </w:tabs>
        <w:jc w:val="both"/>
        <w:rPr>
          <w:b/>
          <w:bCs/>
        </w:rPr>
      </w:pPr>
      <w:r>
        <w:rPr>
          <w:b/>
          <w:bCs/>
        </w:rPr>
        <w:tab/>
        <w:t>INTERNAL REVENUE SERVICE</w:t>
      </w:r>
    </w:p>
    <w:p w:rsidR="00800BE7" w:rsidRDefault="00800BE7">
      <w:pPr>
        <w:widowControl/>
        <w:tabs>
          <w:tab w:val="center" w:pos="4682"/>
        </w:tabs>
        <w:jc w:val="both"/>
        <w:rPr>
          <w:b/>
          <w:bCs/>
        </w:rPr>
      </w:pPr>
      <w:r>
        <w:rPr>
          <w:b/>
          <w:bCs/>
        </w:rPr>
        <w:tab/>
        <w:t>2011-2012 PRIORITY GUIDANCE PLAN</w:t>
      </w:r>
    </w:p>
    <w:p w:rsidR="00800BE7" w:rsidRDefault="00800BE7">
      <w:pPr>
        <w:widowControl/>
        <w:tabs>
          <w:tab w:val="center" w:pos="4682"/>
        </w:tabs>
        <w:jc w:val="both"/>
      </w:pPr>
      <w:r>
        <w:rPr>
          <w:b/>
          <w:bCs/>
        </w:rPr>
        <w:tab/>
        <w:t>September 2, 2011</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pPr>
      <w:r>
        <w:rPr>
          <w:b/>
          <w:bCs/>
        </w:rPr>
        <w:t>GENERAL TAX ISSUES</w:t>
      </w:r>
    </w:p>
    <w:p w:rsidR="00800BE7" w:rsidRDefault="00800BE7">
      <w:pPr>
        <w:widowControl/>
        <w:jc w:val="both"/>
      </w:pPr>
    </w:p>
    <w:p w:rsidR="00800BE7" w:rsidRDefault="00800BE7">
      <w:pPr>
        <w:widowControl/>
        <w:tabs>
          <w:tab w:val="left" w:pos="-1440"/>
        </w:tabs>
        <w:ind w:left="720" w:hanging="720"/>
        <w:jc w:val="both"/>
      </w:pPr>
      <w:r>
        <w:t>19.</w:t>
      </w:r>
      <w:r>
        <w:tab/>
        <w:t>Final regulations under §§ 108 and 7701 regarding the bankruptcy and insolvency rules and disregarded entities.  Proposed regulations were published on April 13, 2011.</w:t>
      </w:r>
      <w:r>
        <w:rPr>
          <w:rStyle w:val="FootnoteReference"/>
          <w:vertAlign w:val="superscript"/>
        </w:rPr>
        <w:footnoteReference w:id="7"/>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tabs>
          <w:tab w:val="left" w:pos="-1440"/>
        </w:tabs>
        <w:ind w:left="720" w:hanging="720"/>
        <w:jc w:val="both"/>
      </w:pPr>
      <w:r>
        <w:t>26.</w:t>
      </w:r>
      <w:r>
        <w:tab/>
        <w:t>Final regulations under § 170 regarding charitable contributions.  Proposed regulations were published on August 7, 2008.</w:t>
      </w:r>
      <w:r>
        <w:rPr>
          <w:rStyle w:val="FootnoteReference"/>
          <w:vertAlign w:val="superscript"/>
        </w:rPr>
        <w:footnoteReference w:id="8"/>
      </w:r>
    </w:p>
    <w:p w:rsidR="00800BE7" w:rsidRDefault="00800BE7">
      <w:pPr>
        <w:widowControl/>
        <w:jc w:val="both"/>
      </w:pPr>
    </w:p>
    <w:p w:rsidR="00800BE7" w:rsidRDefault="00800BE7">
      <w:pPr>
        <w:widowControl/>
        <w:tabs>
          <w:tab w:val="center" w:pos="4682"/>
        </w:tabs>
        <w:jc w:val="both"/>
      </w:pPr>
      <w:r>
        <w:tab/>
        <w:t xml:space="preserve">* * * * </w:t>
      </w:r>
    </w:p>
    <w:p w:rsidR="00800BE7" w:rsidRDefault="00800BE7">
      <w:pPr>
        <w:widowControl/>
        <w:jc w:val="both"/>
      </w:pPr>
    </w:p>
    <w:p w:rsidR="00800BE7" w:rsidRDefault="00800BE7">
      <w:pPr>
        <w:widowControl/>
        <w:jc w:val="both"/>
      </w:pPr>
    </w:p>
    <w:p w:rsidR="00800BE7" w:rsidRDefault="00800BE7">
      <w:pPr>
        <w:widowControl/>
        <w:jc w:val="both"/>
      </w:pPr>
      <w:r>
        <w:rPr>
          <w:b/>
          <w:bCs/>
        </w:rPr>
        <w:t>GIFTS AND ESTATES AND TRUSTS</w:t>
      </w:r>
    </w:p>
    <w:p w:rsidR="00800BE7" w:rsidRDefault="00800BE7">
      <w:pPr>
        <w:widowControl/>
        <w:jc w:val="both"/>
      </w:pPr>
    </w:p>
    <w:p w:rsidR="00800BE7" w:rsidRDefault="00800BE7">
      <w:pPr>
        <w:widowControl/>
        <w:tabs>
          <w:tab w:val="left" w:pos="-1440"/>
        </w:tabs>
        <w:ind w:left="720" w:hanging="720"/>
        <w:jc w:val="both"/>
      </w:pPr>
      <w:r>
        <w:t>1.</w:t>
      </w:r>
      <w:r>
        <w:tab/>
        <w:t>Regulations under §67 regarding miscellaneous itemized deductions of trusts and estates.</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lastRenderedPageBreak/>
        <w:t xml:space="preserve">2. </w:t>
      </w:r>
      <w:r>
        <w:tab/>
        <w:t>Final regulations under §642(c) concerning the ordering rules for charitable payments made by a charitable lead trust. Proposed regulations were published on June 18, 2008.</w:t>
      </w:r>
      <w:r>
        <w:rPr>
          <w:rStyle w:val="FootnoteReference"/>
          <w:vertAlign w:val="superscript"/>
        </w:rPr>
        <w:footnoteReference w:id="9"/>
      </w:r>
    </w:p>
    <w:p w:rsidR="00800BE7" w:rsidRDefault="00800BE7">
      <w:pPr>
        <w:widowControl/>
        <w:jc w:val="both"/>
      </w:pPr>
    </w:p>
    <w:p w:rsidR="00800BE7" w:rsidRDefault="00800BE7">
      <w:pPr>
        <w:widowControl/>
        <w:tabs>
          <w:tab w:val="left" w:pos="-1440"/>
        </w:tabs>
        <w:ind w:left="720" w:hanging="720"/>
        <w:jc w:val="both"/>
      </w:pPr>
      <w:r>
        <w:t xml:space="preserve">3. </w:t>
      </w:r>
      <w:r>
        <w:tab/>
        <w:t>Guidance concerning adjustments to sample charitable remainder trust forms under §664.</w:t>
      </w:r>
    </w:p>
    <w:p w:rsidR="00800BE7" w:rsidRDefault="00800BE7">
      <w:pPr>
        <w:widowControl/>
        <w:jc w:val="both"/>
      </w:pPr>
    </w:p>
    <w:p w:rsidR="00800BE7" w:rsidRDefault="00800BE7">
      <w:pPr>
        <w:widowControl/>
        <w:tabs>
          <w:tab w:val="left" w:pos="-1440"/>
        </w:tabs>
        <w:ind w:left="720" w:hanging="720"/>
        <w:jc w:val="both"/>
      </w:pPr>
      <w:r>
        <w:t xml:space="preserve">4. </w:t>
      </w:r>
      <w:r>
        <w:tab/>
        <w:t>Guidance concerning private trust companies under §§671, 2036, 2038, 2041, 2042, 2511, and 2601.</w:t>
      </w:r>
    </w:p>
    <w:p w:rsidR="00800BE7" w:rsidRDefault="00800BE7">
      <w:pPr>
        <w:widowControl/>
        <w:jc w:val="both"/>
      </w:pPr>
    </w:p>
    <w:p w:rsidR="00800BE7" w:rsidRDefault="00800BE7">
      <w:pPr>
        <w:widowControl/>
        <w:tabs>
          <w:tab w:val="left" w:pos="-1440"/>
        </w:tabs>
        <w:ind w:left="720" w:hanging="720"/>
        <w:jc w:val="both"/>
      </w:pPr>
      <w:r>
        <w:t xml:space="preserve">5. </w:t>
      </w:r>
      <w:r>
        <w:tab/>
        <w:t>Regulations under §1014 regarding uniform basis of charitable remainder trusts.</w:t>
      </w:r>
    </w:p>
    <w:p w:rsidR="00800BE7" w:rsidRDefault="00800BE7">
      <w:pPr>
        <w:widowControl/>
        <w:jc w:val="both"/>
      </w:pPr>
    </w:p>
    <w:p w:rsidR="00800BE7" w:rsidRDefault="00800BE7">
      <w:pPr>
        <w:widowControl/>
        <w:tabs>
          <w:tab w:val="left" w:pos="-1440"/>
        </w:tabs>
        <w:ind w:left="720" w:hanging="720"/>
        <w:jc w:val="both"/>
      </w:pPr>
      <w:r>
        <w:t>6.</w:t>
      </w:r>
      <w:r>
        <w:tab/>
        <w:t>Guidance under §1022 concerning estates of decedents who die during 2010.</w:t>
      </w:r>
    </w:p>
    <w:p w:rsidR="00800BE7" w:rsidRDefault="00800BE7">
      <w:pPr>
        <w:widowControl/>
        <w:jc w:val="both"/>
      </w:pPr>
    </w:p>
    <w:p w:rsidR="00800BE7" w:rsidRDefault="00800BE7">
      <w:pPr>
        <w:widowControl/>
        <w:tabs>
          <w:tab w:val="left" w:pos="-1440"/>
        </w:tabs>
        <w:ind w:left="1440" w:hanging="720"/>
        <w:jc w:val="both"/>
      </w:pPr>
      <w:r>
        <w:t>·</w:t>
      </w:r>
      <w:r>
        <w:tab/>
        <w:t>PUBLISHED 08/29/11 in IRB 2011-35 as REV.  PROC.  2011-41 (RE</w:t>
      </w:r>
      <w:r>
        <w:softHyphen/>
        <w:t>LEASED 08/05/11).</w:t>
      </w:r>
    </w:p>
    <w:p w:rsidR="00800BE7" w:rsidRDefault="00800BE7">
      <w:pPr>
        <w:widowControl/>
        <w:jc w:val="both"/>
      </w:pPr>
    </w:p>
    <w:p w:rsidR="00800BE7" w:rsidRDefault="00800BE7">
      <w:pPr>
        <w:widowControl/>
        <w:tabs>
          <w:tab w:val="left" w:pos="-1440"/>
        </w:tabs>
        <w:ind w:left="1440" w:hanging="720"/>
        <w:jc w:val="both"/>
      </w:pPr>
      <w:r>
        <w:t>·</w:t>
      </w:r>
      <w:r>
        <w:tab/>
        <w:t>PUBLISHED 08/29/11 in IRB 2011-35 as NOT.  2011-66 (RELEASED 08/05/11).</w:t>
      </w:r>
    </w:p>
    <w:p w:rsidR="00800BE7" w:rsidRDefault="00800BE7">
      <w:pPr>
        <w:widowControl/>
        <w:jc w:val="both"/>
      </w:pPr>
    </w:p>
    <w:p w:rsidR="00800BE7" w:rsidRDefault="00800BE7">
      <w:pPr>
        <w:widowControl/>
        <w:tabs>
          <w:tab w:val="left" w:pos="-1440"/>
        </w:tabs>
        <w:ind w:left="720" w:hanging="720"/>
        <w:jc w:val="both"/>
      </w:pPr>
      <w:r>
        <w:t>7.</w:t>
      </w:r>
      <w:r>
        <w:tab/>
        <w:t>Guidance on portability of Unified Credit between spouses under §2010(c).</w:t>
      </w:r>
    </w:p>
    <w:p w:rsidR="00800BE7" w:rsidRDefault="00800BE7">
      <w:pPr>
        <w:widowControl/>
        <w:jc w:val="both"/>
      </w:pPr>
    </w:p>
    <w:p w:rsidR="00800BE7" w:rsidRDefault="00800BE7">
      <w:pPr>
        <w:widowControl/>
        <w:tabs>
          <w:tab w:val="left" w:pos="-1440"/>
        </w:tabs>
        <w:ind w:left="720" w:hanging="720"/>
        <w:jc w:val="both"/>
      </w:pPr>
      <w:r>
        <w:t xml:space="preserve">8. </w:t>
      </w:r>
      <w:r>
        <w:tab/>
        <w:t>Final regulations under §2032(a) regarding imposition of restrictions on estate assets during the six month alternate valuation period. Proposed regulations were published on April 25, 2008.</w:t>
      </w:r>
      <w:r>
        <w:rPr>
          <w:rStyle w:val="FootnoteReference"/>
          <w:vertAlign w:val="superscript"/>
        </w:rPr>
        <w:footnoteReference w:id="10"/>
      </w:r>
    </w:p>
    <w:p w:rsidR="00800BE7" w:rsidRDefault="00800BE7">
      <w:pPr>
        <w:widowControl/>
        <w:jc w:val="both"/>
      </w:pPr>
    </w:p>
    <w:p w:rsidR="00800BE7" w:rsidRDefault="00800BE7">
      <w:pPr>
        <w:widowControl/>
        <w:tabs>
          <w:tab w:val="left" w:pos="-1440"/>
        </w:tabs>
        <w:ind w:left="720" w:hanging="720"/>
        <w:jc w:val="both"/>
      </w:pPr>
      <w:r>
        <w:t xml:space="preserve">9. </w:t>
      </w:r>
      <w:r>
        <w:tab/>
        <w:t>Final regulations under §2036 regarding graduated retained annuity trusts. Proposed regulations were published on April 30, 2009.</w:t>
      </w:r>
      <w:r>
        <w:rPr>
          <w:rStyle w:val="FootnoteReference"/>
          <w:vertAlign w:val="superscript"/>
        </w:rPr>
        <w:footnoteReference w:id="11"/>
      </w:r>
    </w:p>
    <w:p w:rsidR="00800BE7" w:rsidRDefault="00800BE7">
      <w:pPr>
        <w:widowControl/>
        <w:jc w:val="both"/>
      </w:pPr>
    </w:p>
    <w:p w:rsidR="00800BE7" w:rsidRDefault="00800BE7">
      <w:pPr>
        <w:widowControl/>
        <w:tabs>
          <w:tab w:val="left" w:pos="-1440"/>
        </w:tabs>
        <w:ind w:left="720" w:hanging="720"/>
        <w:jc w:val="both"/>
      </w:pPr>
      <w:r>
        <w:t xml:space="preserve">10. </w:t>
      </w:r>
      <w:r>
        <w:tab/>
        <w:t>Guidance on whether a grantor’s retention of a power to substitute trust assets in exchange for assets of equal value, held in a nonfiduciary capacity, will cause insurance policies held in the trust to be includible in the grantor’s gross estate under §2042.</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lastRenderedPageBreak/>
        <w:t>11.</w:t>
      </w:r>
      <w:r>
        <w:tab/>
        <w:t>Guidance under §2053 regarding personal guarantees and the application of present value concepts in determining the deductible amount of expenses and claims against the estate.</w:t>
      </w:r>
    </w:p>
    <w:p w:rsidR="00800BE7" w:rsidRDefault="00800BE7">
      <w:pPr>
        <w:widowControl/>
        <w:jc w:val="both"/>
      </w:pPr>
    </w:p>
    <w:p w:rsidR="00800BE7" w:rsidRDefault="00800BE7">
      <w:pPr>
        <w:widowControl/>
        <w:tabs>
          <w:tab w:val="left" w:pos="-1440"/>
        </w:tabs>
        <w:ind w:left="720" w:hanging="720"/>
        <w:jc w:val="both"/>
      </w:pPr>
      <w:r>
        <w:t>12.</w:t>
      </w:r>
      <w:r>
        <w:tab/>
        <w:t>Revenue procedure providing procedures for filing protective claims for refunds for amounts deductible under §2053.</w:t>
      </w:r>
    </w:p>
    <w:p w:rsidR="00800BE7" w:rsidRDefault="00800BE7">
      <w:pPr>
        <w:widowControl/>
        <w:jc w:val="both"/>
      </w:pPr>
    </w:p>
    <w:p w:rsidR="00800BE7" w:rsidRDefault="00800BE7">
      <w:pPr>
        <w:widowControl/>
        <w:tabs>
          <w:tab w:val="left" w:pos="-1440"/>
        </w:tabs>
        <w:ind w:left="720" w:hanging="720"/>
        <w:jc w:val="both"/>
      </w:pPr>
      <w:r>
        <w:t>13.</w:t>
      </w:r>
      <w:r>
        <w:tab/>
        <w:t>Notice on decanting of trusts under §§ 2501 and 2601.</w:t>
      </w:r>
    </w:p>
    <w:p w:rsidR="00800BE7" w:rsidRDefault="00800BE7">
      <w:pPr>
        <w:widowControl/>
        <w:jc w:val="both"/>
      </w:pPr>
    </w:p>
    <w:p w:rsidR="00800BE7" w:rsidRDefault="00800BE7">
      <w:pPr>
        <w:widowControl/>
        <w:tabs>
          <w:tab w:val="left" w:pos="-1440"/>
        </w:tabs>
        <w:ind w:left="720" w:hanging="720"/>
        <w:jc w:val="both"/>
      </w:pPr>
      <w:r>
        <w:t xml:space="preserve">14. </w:t>
      </w:r>
      <w:r>
        <w:tab/>
        <w:t>Final regulations under §2642(g) regarding extensions of time to make allocations of the generation-skipping transfer tax exemption. Proposed regulations were published on April 17, 2008.</w:t>
      </w:r>
      <w:r>
        <w:rPr>
          <w:rStyle w:val="FootnoteReference"/>
          <w:vertAlign w:val="superscript"/>
        </w:rPr>
        <w:footnoteReference w:id="12"/>
      </w:r>
    </w:p>
    <w:p w:rsidR="00800BE7" w:rsidRDefault="00800BE7">
      <w:pPr>
        <w:widowControl/>
        <w:jc w:val="both"/>
      </w:pPr>
    </w:p>
    <w:p w:rsidR="00800BE7" w:rsidRDefault="00800BE7">
      <w:pPr>
        <w:widowControl/>
        <w:tabs>
          <w:tab w:val="left" w:pos="-1440"/>
        </w:tabs>
        <w:ind w:left="720" w:hanging="720"/>
        <w:jc w:val="both"/>
      </w:pPr>
      <w:r>
        <w:t xml:space="preserve">15. </w:t>
      </w:r>
      <w:r>
        <w:tab/>
        <w:t>Regulations under §2704 regarding restrictions on the liquidation of an interest in certain corporations and partnerships.</w:t>
      </w:r>
    </w:p>
    <w:p w:rsidR="00800BE7" w:rsidRDefault="00800BE7">
      <w:pPr>
        <w:widowControl/>
        <w:jc w:val="both"/>
      </w:pPr>
    </w:p>
    <w:p w:rsidR="00800BE7" w:rsidRDefault="00800BE7">
      <w:pPr>
        <w:widowControl/>
        <w:tabs>
          <w:tab w:val="left" w:pos="-1440"/>
        </w:tabs>
        <w:ind w:left="720" w:hanging="720"/>
        <w:jc w:val="both"/>
      </w:pPr>
      <w:r>
        <w:t xml:space="preserve">16. </w:t>
      </w:r>
      <w:r>
        <w:tab/>
        <w:t>Guidance under §2801 regarding the tax imposed on U.S. citizens and residents who receive gifts or bequests from certain expatriates.</w:t>
      </w:r>
    </w:p>
    <w:p w:rsidR="00800BE7" w:rsidRDefault="00800BE7">
      <w:pPr>
        <w:widowControl/>
        <w:jc w:val="both"/>
      </w:pPr>
    </w:p>
    <w:p w:rsidR="00800BE7" w:rsidRDefault="00800BE7">
      <w:pPr>
        <w:widowControl/>
        <w:tabs>
          <w:tab w:val="left" w:pos="-1440"/>
        </w:tabs>
        <w:ind w:left="720" w:hanging="720"/>
        <w:jc w:val="both"/>
      </w:pPr>
      <w:r>
        <w:t xml:space="preserve">17. </w:t>
      </w:r>
      <w:r>
        <w:tab/>
        <w:t>Final regulations under §7520 updating the mortality-based actuarial tables to be used in valuing annuity interests for life, or term of years, and remainder or reversionary interests. Proposed regulations were published on May 4, 2009.</w:t>
      </w:r>
    </w:p>
    <w:p w:rsidR="00800BE7" w:rsidRDefault="00800BE7">
      <w:pPr>
        <w:widowControl/>
        <w:jc w:val="both"/>
      </w:pPr>
    </w:p>
    <w:p w:rsidR="00800BE7" w:rsidRDefault="00800BE7">
      <w:pPr>
        <w:widowControl/>
        <w:tabs>
          <w:tab w:val="left" w:pos="-1440"/>
        </w:tabs>
        <w:ind w:left="1440" w:hanging="720"/>
        <w:jc w:val="both"/>
      </w:pPr>
      <w:r>
        <w:t>·</w:t>
      </w:r>
      <w:r>
        <w:tab/>
        <w:t>PUBLISHED 08/10/11 in FR as TD 9540.</w:t>
      </w:r>
      <w:r>
        <w:rPr>
          <w:rStyle w:val="FootnoteReference"/>
          <w:vertAlign w:val="superscript"/>
        </w:rPr>
        <w:footnoteReference w:id="13"/>
      </w:r>
    </w:p>
    <w:p w:rsidR="00800BE7" w:rsidRDefault="00800BE7">
      <w:pPr>
        <w:widowControl/>
        <w:jc w:val="both"/>
      </w:pPr>
    </w:p>
    <w:p w:rsidR="00800BE7" w:rsidRDefault="00800BE7">
      <w:pPr>
        <w:widowControl/>
        <w:tabs>
          <w:tab w:val="center" w:pos="4682"/>
        </w:tabs>
        <w:jc w:val="both"/>
      </w:pPr>
      <w:r>
        <w:tab/>
        <w:t xml:space="preserve">* * * * </w:t>
      </w:r>
    </w:p>
    <w:p w:rsidR="00800BE7" w:rsidRDefault="00800BE7">
      <w:pPr>
        <w:widowControl/>
        <w:jc w:val="both"/>
      </w:pPr>
    </w:p>
    <w:p w:rsidR="00800BE7" w:rsidRDefault="00800BE7">
      <w:pPr>
        <w:widowControl/>
        <w:jc w:val="both"/>
      </w:pPr>
      <w:r>
        <w:rPr>
          <w:b/>
          <w:bCs/>
        </w:rPr>
        <w:t>INSURANCE COMPANIES AND PRODUCTS</w:t>
      </w:r>
    </w:p>
    <w:p w:rsidR="00800BE7" w:rsidRDefault="00800BE7">
      <w:pPr>
        <w:widowControl/>
        <w:jc w:val="both"/>
      </w:pPr>
    </w:p>
    <w:p w:rsidR="00800BE7" w:rsidRDefault="00800BE7">
      <w:pPr>
        <w:widowControl/>
        <w:tabs>
          <w:tab w:val="left" w:pos="-1440"/>
        </w:tabs>
        <w:ind w:left="720" w:hanging="720"/>
        <w:jc w:val="both"/>
      </w:pPr>
      <w:r>
        <w:t xml:space="preserve">1. </w:t>
      </w:r>
      <w:r>
        <w:tab/>
        <w:t>Final regulations under §72 on the exchange of property for a private annuity contract. Proposed regulations were published on October 18, 2006.</w:t>
      </w:r>
      <w:r>
        <w:rPr>
          <w:rStyle w:val="FootnoteReference"/>
          <w:vertAlign w:val="superscript"/>
        </w:rPr>
        <w:footnoteReference w:id="14"/>
      </w:r>
    </w:p>
    <w:p w:rsidR="00800BE7" w:rsidRDefault="00800BE7">
      <w:pPr>
        <w:widowControl/>
        <w:jc w:val="both"/>
      </w:pPr>
    </w:p>
    <w:p w:rsidR="00800BE7" w:rsidRDefault="00800BE7">
      <w:pPr>
        <w:widowControl/>
        <w:tabs>
          <w:tab w:val="center" w:pos="4682"/>
        </w:tabs>
        <w:jc w:val="both"/>
      </w:pPr>
      <w:r>
        <w:tab/>
        <w:t xml:space="preserve">* * * * </w:t>
      </w:r>
    </w:p>
    <w:p w:rsidR="00800BE7" w:rsidRDefault="00800BE7">
      <w:pPr>
        <w:widowControl/>
        <w:tabs>
          <w:tab w:val="left" w:pos="-1440"/>
        </w:tabs>
        <w:ind w:left="720" w:hanging="720"/>
        <w:jc w:val="both"/>
      </w:pPr>
      <w:r>
        <w:t xml:space="preserve">9. </w:t>
      </w:r>
      <w:r>
        <w:tab/>
        <w:t>Regulations under §7702 defining cash surrender value.</w:t>
      </w:r>
    </w:p>
    <w:p w:rsidR="00800BE7" w:rsidRDefault="00800BE7">
      <w:pPr>
        <w:widowControl/>
        <w:jc w:val="both"/>
      </w:pPr>
    </w:p>
    <w:p w:rsidR="00800BE7" w:rsidRDefault="00800BE7">
      <w:pPr>
        <w:widowControl/>
        <w:jc w:val="both"/>
        <w:rPr>
          <w:b/>
          <w:bCs/>
        </w:rPr>
      </w:pPr>
    </w:p>
    <w:p w:rsidR="00800BE7" w:rsidRDefault="00800BE7">
      <w:pPr>
        <w:widowControl/>
        <w:jc w:val="both"/>
        <w:rPr>
          <w:b/>
          <w:bCs/>
        </w:rPr>
        <w:sectPr w:rsidR="00800BE7">
          <w:type w:val="continuous"/>
          <w:pgSz w:w="12240" w:h="15840"/>
          <w:pgMar w:top="1440" w:right="1440" w:bottom="1440" w:left="1435" w:header="1440" w:footer="1440" w:gutter="0"/>
          <w:cols w:space="720"/>
          <w:noEndnote/>
        </w:sectPr>
      </w:pPr>
    </w:p>
    <w:p w:rsidR="00800BE7" w:rsidRDefault="00800BE7">
      <w:pPr>
        <w:keepNext/>
        <w:keepLines/>
        <w:widowControl/>
        <w:jc w:val="both"/>
      </w:pPr>
      <w:r>
        <w:rPr>
          <w:b/>
          <w:bCs/>
        </w:rPr>
        <w:lastRenderedPageBreak/>
        <w:t>TAX ADMINISTRATION</w:t>
      </w:r>
    </w:p>
    <w:p w:rsidR="00800BE7" w:rsidRDefault="00800BE7">
      <w:pPr>
        <w:keepNext/>
        <w:keepLines/>
        <w:widowControl/>
        <w:jc w:val="both"/>
      </w:pPr>
    </w:p>
    <w:p w:rsidR="00800BE7" w:rsidRDefault="00800BE7">
      <w:pPr>
        <w:keepNext/>
        <w:keepLines/>
        <w:widowControl/>
        <w:tabs>
          <w:tab w:val="left" w:pos="-1440"/>
        </w:tabs>
        <w:ind w:left="720" w:hanging="720"/>
        <w:jc w:val="both"/>
      </w:pPr>
      <w:r>
        <w:t>14.</w:t>
      </w:r>
      <w:r>
        <w:tab/>
        <w:t>Regulations under §6166 regarding the furnishing of security in connection with an election to pay the estate tax in installments.</w:t>
      </w:r>
    </w:p>
    <w:p w:rsidR="00800BE7" w:rsidRDefault="00800BE7">
      <w:pPr>
        <w:keepLines/>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 xml:space="preserve">6. </w:t>
      </w:r>
      <w:r>
        <w:rPr>
          <w:b/>
          <w:bCs/>
        </w:rPr>
        <w:tab/>
        <w:t>IRS No-Rulings List for 2011 – Estate, Gift, GST Tax and Related Issues.  Excerpts from Rev. Proc. 2011-3, 2011-1 I.R.B. 111 (Jan. 3, 2011)</w:t>
      </w:r>
      <w:r w:rsidR="00BC7053">
        <w:rPr>
          <w:b/>
          <w:bCs/>
        </w:rPr>
        <w:fldChar w:fldCharType="begin"/>
      </w:r>
      <w:r>
        <w:rPr>
          <w:b/>
          <w:bCs/>
        </w:rPr>
        <w:instrText xml:space="preserve">tc \l1 "6. </w:instrText>
      </w:r>
      <w:r>
        <w:rPr>
          <w:b/>
          <w:bCs/>
        </w:rPr>
        <w:tab/>
        <w:instrText>IRS No-Rulings List for 2011 – Estate, Gift, GST Tax and Related Issues.  Excerpts from Rev. Proc. 2011-3, 2011-1 I.R.B. 111 (Jan. 3, 2011)</w:instrText>
      </w:r>
      <w:r w:rsidR="00BC7053">
        <w:rPr>
          <w:b/>
          <w:bCs/>
        </w:rPr>
        <w:fldChar w:fldCharType="end"/>
      </w:r>
    </w:p>
    <w:p w:rsidR="00800BE7" w:rsidRDefault="00800BE7">
      <w:pPr>
        <w:widowControl/>
        <w:jc w:val="both"/>
      </w:pPr>
    </w:p>
    <w:p w:rsidR="00800BE7" w:rsidRDefault="00800BE7">
      <w:pPr>
        <w:widowControl/>
        <w:jc w:val="both"/>
      </w:pPr>
    </w:p>
    <w:p w:rsidR="00800BE7" w:rsidRDefault="00800BE7">
      <w:pPr>
        <w:widowControl/>
        <w:jc w:val="both"/>
      </w:pPr>
      <w:r>
        <w:rPr>
          <w:b/>
          <w:bCs/>
        </w:rPr>
        <w:t>SECTION 3. AREAS IN WHICH RULINGS OR DETERMINATION LETTERS WILL NOT BE ISSUED</w:t>
      </w:r>
    </w:p>
    <w:p w:rsidR="00800BE7" w:rsidRDefault="00800BE7">
      <w:pPr>
        <w:widowControl/>
        <w:jc w:val="both"/>
      </w:pPr>
    </w:p>
    <w:p w:rsidR="00800BE7" w:rsidRDefault="00800BE7">
      <w:pPr>
        <w:widowControl/>
        <w:jc w:val="both"/>
      </w:pPr>
      <w:r>
        <w:rPr>
          <w:b/>
          <w:bCs/>
        </w:rPr>
        <w:t>.01 Specific questions and problems.</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(2) Section 61. </w:t>
      </w:r>
      <w:r>
        <w:noBreakHyphen/>
      </w:r>
      <w:r>
        <w:noBreakHyphen/>
        <w:t xml:space="preserve"> Gross Income Defined. </w:t>
      </w:r>
      <w:r>
        <w:noBreakHyphen/>
      </w:r>
      <w:r>
        <w:noBreakHyphen/>
        <w:t xml:space="preserve"> Whether a split</w:t>
      </w:r>
      <w:r>
        <w:noBreakHyphen/>
        <w:t>dollar life insurance arrangement is "materially modified" within the meaning of § 1.61</w:t>
      </w:r>
      <w:r>
        <w:noBreakHyphen/>
        <w:t>22(j)(2) of the Income Tax Regulations. (Also §§ 83, 301, 1401, 2501, 3121, 3231, 3306, 3401, and 7872.)</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(7) Section 101. </w:t>
      </w:r>
      <w:r>
        <w:noBreakHyphen/>
      </w:r>
      <w:r>
        <w:noBreakHyphen/>
        <w:t xml:space="preserve"> Certain Death Benefits. </w:t>
      </w:r>
      <w:r>
        <w:noBreakHyphen/>
      </w:r>
      <w:r>
        <w:noBreakHyphen/>
        <w:t xml:space="preserve"> Whether there has been a transfer for value for purposes of § 101(a) in situations involving a grantor and a trust when (i) substantially all of the trust corpus consists or will consist of insurance policies on the life of the grantor or the grantor's spouse, (ii) the trustee or any other person has a power to apply the trust's income or corpus to the payment of premiums on policies of insurance on the life of the grantor or the grantor's spouse, (iii) the trustee or any other person has a power to use the trust's assets to make loans to the grantor's estate or to purchase assets from the grantor's estate, and (iv) there is a right or power in any person that would cause the grantor to be treated as the owner of all or a portion of the trust under §§ 673 to 677.</w:t>
      </w:r>
    </w:p>
    <w:p w:rsidR="00800BE7" w:rsidRDefault="00800BE7">
      <w:pPr>
        <w:widowControl/>
        <w:jc w:val="both"/>
      </w:pPr>
    </w:p>
    <w:p w:rsidR="00800BE7" w:rsidRDefault="00800BE7">
      <w:pPr>
        <w:widowControl/>
        <w:ind w:firstLine="720"/>
        <w:jc w:val="both"/>
      </w:pPr>
      <w:r>
        <w:t xml:space="preserve">(8) Sections 101, 761, and 7701. </w:t>
      </w:r>
      <w:r>
        <w:noBreakHyphen/>
      </w:r>
      <w:r>
        <w:noBreakHyphen/>
        <w:t xml:space="preserve"> Definitions. </w:t>
      </w:r>
      <w:r>
        <w:noBreakHyphen/>
      </w:r>
      <w:r>
        <w:noBreakHyphen/>
        <w:t xml:space="preserve"> Whether, in connection with the transfer of a life insurance policy to an unincorporated organization, (i) the organization will be treated as a partnership under §§ 761 and 7701, or (ii) the transfer of the life insurance policy to the organization will be exempt from the transfer for value rules of § 101, when substantially all of the organization's assets consists or will consist of life insurance policies on the lives of the members.</w:t>
      </w:r>
    </w:p>
    <w:p w:rsidR="00800BE7" w:rsidRDefault="00800BE7">
      <w:pPr>
        <w:widowControl/>
        <w:jc w:val="both"/>
      </w:pPr>
    </w:p>
    <w:p w:rsidR="00800BE7" w:rsidRDefault="00800BE7">
      <w:pPr>
        <w:widowControl/>
        <w:ind w:firstLine="720"/>
        <w:jc w:val="both"/>
      </w:pPr>
      <w:r>
        <w:t xml:space="preserve">(9) Section 102. </w:t>
      </w:r>
      <w:r>
        <w:noBreakHyphen/>
      </w:r>
      <w:r>
        <w:noBreakHyphen/>
        <w:t xml:space="preserve"> Gifts and Inheritances. </w:t>
      </w:r>
      <w:r>
        <w:noBreakHyphen/>
      </w:r>
      <w:r>
        <w:noBreakHyphen/>
        <w:t xml:space="preserve"> Whether a transfer is a gift within the meaning of § 102(a).</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(22) Section 170. </w:t>
      </w:r>
      <w:r>
        <w:noBreakHyphen/>
      </w:r>
      <w:r>
        <w:noBreakHyphen/>
        <w:t xml:space="preserve"> Charitable, Etc., Contributions and Gifts. </w:t>
      </w:r>
      <w:r>
        <w:noBreakHyphen/>
      </w:r>
      <w:r>
        <w:noBreakHyphen/>
        <w:t xml:space="preserve"> Whether a charitable contribution deduction under § 170 is allowed for a transfer of an interest in a limited partnership or a limited liability company taxed as a partnership to an organization described in § 170(c).</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ind w:firstLine="720"/>
        <w:jc w:val="both"/>
      </w:pPr>
      <w:r>
        <w:lastRenderedPageBreak/>
        <w:t xml:space="preserve">(23) Section 170. </w:t>
      </w:r>
      <w:r>
        <w:noBreakHyphen/>
      </w:r>
      <w:r>
        <w:noBreakHyphen/>
        <w:t xml:space="preserve"> Charitable, Etc., Contributions and Gifts. </w:t>
      </w:r>
      <w:r>
        <w:noBreakHyphen/>
      </w:r>
      <w:r>
        <w:noBreakHyphen/>
        <w:t xml:space="preserve"> Whether a taxpayer who advances funds to a charitable organization and receives therefor a promissory note may deduct as contributions, in one taxable year or in each of several years, amounts forgiven by the taxpayer in each of several years by endorsement on the note.</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pPr>
      <w:r>
        <w:rPr>
          <w:b/>
          <w:bCs/>
        </w:rPr>
        <w:t xml:space="preserve">SIGNIFICANT ISSUE: </w:t>
      </w:r>
      <w:r>
        <w:t>A significant issue is an issue of law that meets the three following tests: (1) the issue is not clearly and adequately addressed by a statute, regulation, decision of a court, tax treaty, revenue ruling, revenue procedure, notice, or other authority published in the Internal Revenue Bulletin; (2) the resolution of the issue is not essentially free from doubt; and (3) the issue is legally significant and germane to determining the major tax consequences of the transaction. An issue of law will be considered not clearly and adequately addressed by the authorities above, and its resolution will not be essentially free from doubt when, because of concern over a legal issue (as opposed to a factual issue), taxpayer's counsel is unable to render an unqualified opinion on what the tax consequences of the transaction will be.</w:t>
      </w:r>
    </w:p>
    <w:p w:rsidR="00800BE7" w:rsidRDefault="00800BE7">
      <w:pPr>
        <w:widowControl/>
        <w:jc w:val="both"/>
      </w:pPr>
    </w:p>
    <w:p w:rsidR="00800BE7" w:rsidRDefault="00800BE7">
      <w:pPr>
        <w:widowControl/>
        <w:jc w:val="both"/>
      </w:pPr>
      <w:r>
        <w:rPr>
          <w:b/>
          <w:bCs/>
        </w:rPr>
        <w:t>OBTAINING A RULING:</w:t>
      </w:r>
      <w:r>
        <w:t xml:space="preserve"> To obtain a ruling on a transaction involving a significant issue, the taxpayer must in its ruling request explain the significance of the issue, set forth the authorities most closely related to the issue, and explain why the issue is not resolved by these authorities.</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(51) Section 641. </w:t>
      </w:r>
      <w:r>
        <w:noBreakHyphen/>
      </w:r>
      <w:r>
        <w:noBreakHyphen/>
        <w:t xml:space="preserve"> Imposition of Tax. </w:t>
      </w:r>
      <w:r>
        <w:noBreakHyphen/>
      </w:r>
      <w:r>
        <w:noBreakHyphen/>
        <w:t xml:space="preserve"> Whether the period of administration or settlement of an estate or a trust (other than a trust described in § 664) is reasonable or unduly prolonged.</w:t>
      </w:r>
    </w:p>
    <w:p w:rsidR="00800BE7" w:rsidRDefault="00800BE7">
      <w:pPr>
        <w:widowControl/>
        <w:jc w:val="both"/>
      </w:pPr>
    </w:p>
    <w:p w:rsidR="00800BE7" w:rsidRDefault="00800BE7">
      <w:pPr>
        <w:widowControl/>
        <w:ind w:firstLine="720"/>
        <w:jc w:val="both"/>
      </w:pPr>
      <w:r>
        <w:t xml:space="preserve">(52) Section 642(c). </w:t>
      </w:r>
      <w:r>
        <w:noBreakHyphen/>
      </w:r>
      <w:r>
        <w:noBreakHyphen/>
        <w:t xml:space="preserve"> Deduction for Amounts Paid or Permanently Set Aside for a Charitable Purpose. </w:t>
      </w:r>
      <w:r>
        <w:noBreakHyphen/>
      </w:r>
      <w:r>
        <w:noBreakHyphen/>
        <w:t xml:space="preserve"> Allowance of an unlimited deduction for amounts set aside by a trust or estate for charitable purposes when there is a possibility that the corpus of the trust or estate may be invaded.</w:t>
      </w:r>
    </w:p>
    <w:p w:rsidR="00800BE7" w:rsidRDefault="00800BE7">
      <w:pPr>
        <w:widowControl/>
        <w:jc w:val="both"/>
      </w:pPr>
    </w:p>
    <w:p w:rsidR="00800BE7" w:rsidRDefault="00800BE7">
      <w:pPr>
        <w:widowControl/>
        <w:ind w:firstLine="720"/>
        <w:jc w:val="both"/>
      </w:pPr>
      <w:r>
        <w:t xml:space="preserve">(53) Section 664. </w:t>
      </w:r>
      <w:r>
        <w:noBreakHyphen/>
      </w:r>
      <w:r>
        <w:noBreakHyphen/>
        <w:t xml:space="preserve"> Charitable Remainder Trusts. </w:t>
      </w:r>
      <w:r>
        <w:noBreakHyphen/>
      </w:r>
      <w:r>
        <w:noBreakHyphen/>
        <w:t xml:space="preserve"> Whether the settlement of a charitable remainder trust upon the termination of the noncharitable interest is made within a reasonable period of time.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lastRenderedPageBreak/>
        <w:t xml:space="preserve">(54) Section 671. </w:t>
      </w:r>
      <w:r>
        <w:noBreakHyphen/>
      </w:r>
      <w:r>
        <w:noBreakHyphen/>
        <w:t xml:space="preserve"> Trust Income, Deductions, and Credits Attributable to Grantors and Others as Substantial Owners. </w:t>
      </w:r>
      <w:r>
        <w:noBreakHyphen/>
      </w:r>
      <w:r>
        <w:noBreakHyphen/>
        <w:t xml:space="preserve"> Whether the grantor will be considered the owner of any portion of a trust when (i) substantially all of the trust corpus consists or will consist of insurance policies on the life of the grantor or the grantor's spouse, (ii) the trustee or any other person has a power to apply the trust's income or corpus to the payment of premiums on policies of insurance on the life of the grantor or the grantor's spouse, (iii) the trustee or any other person has a power to use the trust's assets to make loans to the grantor's </w:t>
      </w:r>
      <w:r>
        <w:lastRenderedPageBreak/>
        <w:t>estate or to purchase assets from the grantor's estate, and (iv) there is a right or power in any person that would cause the grantor to be treated as the owner of all or a portion of the trust under §§ 673 to 677.</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(65) Section 2031. </w:t>
      </w:r>
      <w:r>
        <w:noBreakHyphen/>
      </w:r>
      <w:r>
        <w:noBreakHyphen/>
        <w:t xml:space="preserve"> Definition of Gross Estate. </w:t>
      </w:r>
      <w:r>
        <w:noBreakHyphen/>
      </w:r>
      <w:r>
        <w:noBreakHyphen/>
        <w:t xml:space="preserve"> Actuarial factors for valuing interests in the prospective gross estate of a living person.</w:t>
      </w:r>
    </w:p>
    <w:p w:rsidR="00800BE7" w:rsidRDefault="00800BE7">
      <w:pPr>
        <w:widowControl/>
        <w:jc w:val="both"/>
      </w:pPr>
    </w:p>
    <w:p w:rsidR="00800BE7" w:rsidRDefault="00800BE7">
      <w:pPr>
        <w:widowControl/>
        <w:ind w:firstLine="720"/>
        <w:jc w:val="both"/>
      </w:pPr>
      <w:r>
        <w:t xml:space="preserve">(66) Section 2055. </w:t>
      </w:r>
      <w:r>
        <w:noBreakHyphen/>
      </w:r>
      <w:r>
        <w:noBreakHyphen/>
        <w:t xml:space="preserve"> Transfers for Public, Charitable, and Religious Uses. </w:t>
      </w:r>
      <w:r>
        <w:noBreakHyphen/>
      </w:r>
      <w:r>
        <w:noBreakHyphen/>
        <w:t xml:space="preserve"> Whether a charitable contribution deduction under § 2055 is allowed for the transfer of an interest in a limited partnership or a limited liability company taxed as a partnership to an organization described in § 2055(a).</w:t>
      </w:r>
    </w:p>
    <w:p w:rsidR="00800BE7" w:rsidRDefault="00800BE7">
      <w:pPr>
        <w:widowControl/>
        <w:jc w:val="both"/>
      </w:pPr>
    </w:p>
    <w:p w:rsidR="00800BE7" w:rsidRDefault="00800BE7">
      <w:pPr>
        <w:widowControl/>
        <w:ind w:firstLine="720"/>
        <w:jc w:val="both"/>
      </w:pPr>
      <w:r>
        <w:t xml:space="preserve">(67) Section 2512. </w:t>
      </w:r>
      <w:r>
        <w:noBreakHyphen/>
      </w:r>
      <w:r>
        <w:noBreakHyphen/>
        <w:t xml:space="preserve"> Valuation of Gifts. </w:t>
      </w:r>
      <w:r>
        <w:noBreakHyphen/>
      </w:r>
      <w:r>
        <w:noBreakHyphen/>
        <w:t xml:space="preserve"> Actuarial factors for valuing prospective or hypothetical gifts of a donor.</w:t>
      </w:r>
    </w:p>
    <w:p w:rsidR="00800BE7" w:rsidRDefault="00800BE7">
      <w:pPr>
        <w:widowControl/>
        <w:jc w:val="both"/>
      </w:pPr>
    </w:p>
    <w:p w:rsidR="00800BE7" w:rsidRDefault="00800BE7">
      <w:pPr>
        <w:widowControl/>
        <w:ind w:firstLine="720"/>
        <w:jc w:val="both"/>
      </w:pPr>
      <w:r>
        <w:t xml:space="preserve">(68) Section 2522. </w:t>
      </w:r>
      <w:r>
        <w:noBreakHyphen/>
      </w:r>
      <w:r>
        <w:noBreakHyphen/>
        <w:t xml:space="preserve"> Charitable and Similar Gifts. </w:t>
      </w:r>
      <w:r>
        <w:noBreakHyphen/>
      </w:r>
      <w:r>
        <w:noBreakHyphen/>
        <w:t xml:space="preserve"> Whether a charitable contribution deduction under § 2522 is allowable for a transfer of an interest in a limited partnership or a limited liability company taxed as a partnership to an organization described in § 2522(a).</w:t>
      </w:r>
    </w:p>
    <w:p w:rsidR="00800BE7" w:rsidRDefault="00800BE7">
      <w:pPr>
        <w:widowControl/>
        <w:jc w:val="both"/>
      </w:pPr>
    </w:p>
    <w:p w:rsidR="00800BE7" w:rsidRDefault="00800BE7">
      <w:pPr>
        <w:widowControl/>
        <w:ind w:firstLine="720"/>
        <w:jc w:val="both"/>
      </w:pPr>
      <w:r>
        <w:t xml:space="preserve">(69) Section 2601. </w:t>
      </w:r>
      <w:r>
        <w:noBreakHyphen/>
      </w:r>
      <w:r>
        <w:noBreakHyphen/>
        <w:t xml:space="preserve"> Tax Imposed. Exceptions: Retention of Trust's Genera</w:t>
      </w:r>
      <w:r>
        <w:softHyphen/>
        <w:t>tion</w:t>
      </w:r>
      <w:r>
        <w:noBreakHyphen/>
        <w:t xml:space="preserve">Skipping Transfer Tax Exempt Status in the Case of Modifications, Etc. </w:t>
      </w:r>
      <w:r>
        <w:noBreakHyphen/>
      </w:r>
      <w:r>
        <w:noBreakHyphen/>
        <w:t xml:space="preserve"> Whether a trust exempt from generation</w:t>
      </w:r>
      <w:r>
        <w:noBreakHyphen/>
        <w:t>skipping transfer (GST) tax under § 26.2601</w:t>
      </w:r>
      <w:r>
        <w:noBreakHyphen/>
        <w:t>1(b)(1), (2), or (3) of the Generation</w:t>
      </w:r>
      <w:r>
        <w:noBreakHyphen/>
        <w:t>Skipping Transfer Tax Regulations will retain its GST exempt status when there is a modification of a trust, change in the administration of a trust, or a distribution from a trust in a factual scenario that is similar to a factual scenario set forth in one or more of the examples contained in § 26.2601</w:t>
      </w:r>
      <w:r>
        <w:noBreakHyphen/>
        <w:t>1(b)(4)(i)(E).</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(74) Section 6166 </w:t>
      </w:r>
      <w:r>
        <w:noBreakHyphen/>
        <w:t xml:space="preserve">Estates consisting largely of an interest in a closely held business </w:t>
      </w:r>
      <w:r>
        <w:noBreakHyphen/>
        <w:t>Requests involving section 6166 where there is no decedent.</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rPr>
          <w:b/>
          <w:bCs/>
        </w:rPr>
      </w:pPr>
      <w:r>
        <w:rPr>
          <w:b/>
          <w:bCs/>
        </w:rPr>
        <w:t>SECTION 4. AREAS IN WHICH RULINGS OR DETERMINATION LETTERS WILL NOT ORDINARILY BE ISSUED</w:t>
      </w:r>
    </w:p>
    <w:p w:rsidR="00800BE7" w:rsidRDefault="00800BE7">
      <w:pPr>
        <w:widowControl/>
        <w:jc w:val="both"/>
        <w:rPr>
          <w:b/>
          <w:bCs/>
        </w:rPr>
      </w:pPr>
    </w:p>
    <w:p w:rsidR="00800BE7" w:rsidRDefault="00800BE7">
      <w:pPr>
        <w:widowControl/>
        <w:jc w:val="both"/>
      </w:pPr>
      <w:r>
        <w:rPr>
          <w:b/>
          <w:bCs/>
        </w:rPr>
        <w:t>.01 Specific questions and problems.</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lastRenderedPageBreak/>
        <w:t xml:space="preserve">(14) Section 170. </w:t>
      </w:r>
      <w:r>
        <w:noBreakHyphen/>
      </w:r>
      <w:r>
        <w:noBreakHyphen/>
        <w:t xml:space="preserve"> Charitable, Etc., Contributions and Gifts. </w:t>
      </w:r>
      <w:r>
        <w:noBreakHyphen/>
      </w:r>
      <w:r>
        <w:noBreakHyphen/>
        <w:t xml:space="preserve"> Whether a transfer to a pooled income fund described in § 642(c)(5) qualifies for a charitable contribution deduction under § 170(f)(2)(A).</w:t>
      </w:r>
    </w:p>
    <w:p w:rsidR="00800BE7" w:rsidRDefault="00800BE7">
      <w:pPr>
        <w:widowControl/>
        <w:jc w:val="both"/>
      </w:pPr>
    </w:p>
    <w:p w:rsidR="00800BE7" w:rsidRDefault="00800BE7">
      <w:pPr>
        <w:widowControl/>
        <w:ind w:firstLine="720"/>
        <w:jc w:val="both"/>
      </w:pPr>
      <w:r>
        <w:t xml:space="preserve">(15) Section 170(c). </w:t>
      </w:r>
      <w:r>
        <w:noBreakHyphen/>
      </w:r>
      <w:r>
        <w:noBreakHyphen/>
        <w:t xml:space="preserve"> Charitable, Etc., Contributions and Gifts. </w:t>
      </w:r>
      <w:r>
        <w:noBreakHyphen/>
      </w:r>
      <w:r>
        <w:noBreakHyphen/>
        <w:t xml:space="preserve"> Whether a taxpayer who transfers property to a charitable organization and thereafter leases back all or a portion of the transferred property may deduct the fair market value of the property transferred and leased back as a charitable contribution.</w:t>
      </w:r>
    </w:p>
    <w:p w:rsidR="00800BE7" w:rsidRDefault="00800BE7">
      <w:pPr>
        <w:widowControl/>
        <w:jc w:val="both"/>
      </w:pPr>
    </w:p>
    <w:p w:rsidR="00800BE7" w:rsidRDefault="00800BE7">
      <w:pPr>
        <w:widowControl/>
        <w:ind w:firstLine="720"/>
        <w:jc w:val="both"/>
      </w:pPr>
      <w:r>
        <w:t xml:space="preserve">(16) Section 170. </w:t>
      </w:r>
      <w:r>
        <w:noBreakHyphen/>
      </w:r>
      <w:r>
        <w:noBreakHyphen/>
        <w:t xml:space="preserve"> Charitable, Etc., Contributions and Gifts. </w:t>
      </w:r>
      <w:r>
        <w:noBreakHyphen/>
      </w:r>
      <w:r>
        <w:noBreakHyphen/>
        <w:t xml:space="preserve"> Whether a transfer to a charitable remainder trust described in § 664 that provides for annuity or unitrust payments for one or two measuring lives qualifies for a charitable deduction under § 170(f)(2)(A).</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(36) Section 642. </w:t>
      </w:r>
      <w:r>
        <w:noBreakHyphen/>
      </w:r>
      <w:r>
        <w:noBreakHyphen/>
        <w:t xml:space="preserve"> Special Rules for Credits and Deductions; Pooled Income Fund.</w:t>
      </w:r>
      <w:r>
        <w:noBreakHyphen/>
        <w:t>Wheth</w:t>
      </w:r>
      <w:r>
        <w:softHyphen/>
        <w:t>er a pooled income fund satisfies the requirements described in § 642(c)(5).</w:t>
      </w:r>
    </w:p>
    <w:p w:rsidR="00800BE7" w:rsidRDefault="00800BE7">
      <w:pPr>
        <w:widowControl/>
        <w:jc w:val="both"/>
      </w:pPr>
    </w:p>
    <w:p w:rsidR="00800BE7" w:rsidRDefault="00800BE7">
      <w:pPr>
        <w:widowControl/>
        <w:ind w:firstLine="720"/>
        <w:jc w:val="both"/>
      </w:pPr>
      <w:r>
        <w:t xml:space="preserve">(37) Section 664. </w:t>
      </w:r>
      <w:r>
        <w:noBreakHyphen/>
      </w:r>
      <w:r>
        <w:noBreakHyphen/>
        <w:t xml:space="preserve"> Charitable Remainder Trusts. </w:t>
      </w:r>
      <w:r>
        <w:noBreakHyphen/>
      </w:r>
      <w:r>
        <w:noBreakHyphen/>
        <w:t xml:space="preserve"> Whether a charitable remainder trust that provides for annuity or unitrust payments for one or two measuring lives or for annuity or unitrust payments for a term of years satisfies the requirements described in § 664.</w:t>
      </w:r>
    </w:p>
    <w:p w:rsidR="00800BE7" w:rsidRDefault="00800BE7">
      <w:pPr>
        <w:widowControl/>
        <w:jc w:val="both"/>
      </w:pPr>
    </w:p>
    <w:p w:rsidR="00800BE7" w:rsidRDefault="00800BE7">
      <w:pPr>
        <w:widowControl/>
        <w:ind w:firstLine="720"/>
        <w:jc w:val="both"/>
      </w:pPr>
      <w:r>
        <w:t xml:space="preserve">(38) Section 664. </w:t>
      </w:r>
      <w:r>
        <w:noBreakHyphen/>
      </w:r>
      <w:r>
        <w:noBreakHyphen/>
        <w:t xml:space="preserve"> Charitable Remainder Trusts. </w:t>
      </w:r>
      <w:r>
        <w:noBreakHyphen/>
      </w:r>
      <w:r>
        <w:noBreakHyphen/>
        <w:t xml:space="preserve"> Whether a trust that will calculate the unitrust amount under § 664(d)(3) qualifies as a § 664 charitable remainder trust when a grantor, a trustee, a beneficiary, or a person related or subordinate to a grantor, a trustee, or a beneficiary can control the timing of the trust's receipt of trust income from a partnership or a deferred annuity contract to take advantage of the difference between trust income under § 643(b) and income for Federal income tax purposes for the benefit of the unitrust recipient.</w:t>
      </w:r>
    </w:p>
    <w:p w:rsidR="00800BE7" w:rsidRDefault="00800BE7">
      <w:pPr>
        <w:widowControl/>
        <w:jc w:val="both"/>
      </w:pPr>
    </w:p>
    <w:p w:rsidR="00800BE7" w:rsidRDefault="00800BE7">
      <w:pPr>
        <w:widowControl/>
        <w:ind w:firstLine="720"/>
        <w:jc w:val="both"/>
      </w:pPr>
      <w:r>
        <w:t xml:space="preserve">(39) Section 664. </w:t>
      </w:r>
      <w:r>
        <w:noBreakHyphen/>
      </w:r>
      <w:r>
        <w:noBreakHyphen/>
        <w:t xml:space="preserve"> Charitable Remainder Trusts. </w:t>
      </w:r>
      <w:r>
        <w:noBreakHyphen/>
      </w:r>
      <w:r>
        <w:noBreakHyphen/>
        <w:t xml:space="preserve"> Whether the termination of a charitable remainder trust before the end of the trust term as defined in the trust's governing instrument, in a transaction in which the trust beneficiaries receive their actuarial shares of the value of the trust assets, causes the trust to have ceased to qualify as a charitable remainder trust within the meaning of § 664.</w:t>
      </w:r>
    </w:p>
    <w:p w:rsidR="00800BE7" w:rsidRDefault="00800BE7">
      <w:pPr>
        <w:widowControl/>
        <w:jc w:val="both"/>
      </w:pPr>
    </w:p>
    <w:p w:rsidR="00800BE7" w:rsidRDefault="00800BE7">
      <w:pPr>
        <w:widowControl/>
        <w:ind w:firstLine="720"/>
        <w:jc w:val="both"/>
      </w:pPr>
      <w:r>
        <w:t xml:space="preserve">(40) Sections 671 to 679. </w:t>
      </w:r>
      <w:r>
        <w:noBreakHyphen/>
      </w:r>
      <w:r>
        <w:noBreakHyphen/>
        <w:t xml:space="preserve"> Grantors and Others Treated as Substantial Owners. </w:t>
      </w:r>
      <w:r>
        <w:noBreakHyphen/>
      </w:r>
      <w:r>
        <w:noBreakHyphen/>
        <w:t xml:space="preserve"> In a nonqualified, unfunded deferred compensation arrangement described in Rev. Proc. 92</w:t>
      </w:r>
      <w:r>
        <w:noBreakHyphen/>
        <w:t>64, the tax consequences of the use of a trust, other than the model trust described in that revenue procedure.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lastRenderedPageBreak/>
        <w:t xml:space="preserve">(41) Sections 671 to 679. </w:t>
      </w:r>
      <w:r>
        <w:noBreakHyphen/>
      </w:r>
      <w:r>
        <w:noBreakHyphen/>
        <w:t xml:space="preserve"> Grantors and Others Treated as Substantial Owners </w:t>
      </w:r>
      <w:r>
        <w:noBreakHyphen/>
        <w:t xml:space="preserve">Whether an Indian tribe (as defined in 25 U.S.C. § 2703(5)) that establishes a trust to </w:t>
      </w:r>
      <w:r>
        <w:lastRenderedPageBreak/>
        <w:t>receive and invest per capita payments for its members who are minors or legal incompetents under the Indian Gaming Regulatory Act (25 U.S.C. §§ 2701</w:t>
      </w:r>
      <w:r>
        <w:noBreakHyphen/>
        <w:t>2721) is the grantor and owner of the trust, if the trust meets the requirements of section 5.02 of Rev. Proc. 2003</w:t>
      </w:r>
      <w:r>
        <w:noBreakHyphen/>
        <w:t>14, 2003</w:t>
      </w:r>
      <w:r>
        <w:noBreakHyphen/>
        <w:t>1 C.B. 319.</w:t>
      </w:r>
    </w:p>
    <w:p w:rsidR="00800BE7" w:rsidRDefault="00800BE7">
      <w:pPr>
        <w:widowControl/>
        <w:jc w:val="both"/>
      </w:pPr>
    </w:p>
    <w:p w:rsidR="00800BE7" w:rsidRDefault="00800BE7">
      <w:pPr>
        <w:widowControl/>
        <w:ind w:firstLine="720"/>
        <w:jc w:val="both"/>
      </w:pPr>
      <w:r>
        <w:t xml:space="preserve">(42) Section 1001. </w:t>
      </w:r>
      <w:r>
        <w:noBreakHyphen/>
      </w:r>
      <w:r>
        <w:noBreakHyphen/>
        <w:t xml:space="preserve"> Determination of Amount of and Recognition of Gain or Loss. </w:t>
      </w:r>
      <w:r>
        <w:noBreakHyphen/>
      </w:r>
      <w:r>
        <w:noBreakHyphen/>
        <w:t xml:space="preserve"> Whether the termination of a charitable remainder trust before the end of the trust term as defined in the trust's governing instrument, in a transaction in which the trust beneficiaries receive their actuarial shares of the value of the trust assets, is treated as a sale or other disposition by the beneficiaries of their interests in the trust.</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ind w:firstLine="720"/>
        <w:jc w:val="both"/>
      </w:pPr>
      <w:r>
        <w:t xml:space="preserve">(47) Section 2055. </w:t>
      </w:r>
      <w:r>
        <w:noBreakHyphen/>
      </w:r>
      <w:r>
        <w:noBreakHyphen/>
        <w:t xml:space="preserve"> Transfers for Public, Charitable, and Religious Uses. </w:t>
      </w:r>
      <w:r>
        <w:noBreakHyphen/>
      </w:r>
      <w:r>
        <w:noBreakHyphen/>
        <w:t xml:space="preserve"> Whether a transfer to a pooled income fund described in § 642(c)(5) qualifies for a charitable deduction under § 2055(e)(2)(A).</w:t>
      </w:r>
    </w:p>
    <w:p w:rsidR="00800BE7" w:rsidRDefault="00800BE7">
      <w:pPr>
        <w:widowControl/>
        <w:jc w:val="both"/>
      </w:pPr>
    </w:p>
    <w:p w:rsidR="00800BE7" w:rsidRDefault="00800BE7">
      <w:pPr>
        <w:widowControl/>
        <w:ind w:firstLine="720"/>
        <w:jc w:val="both"/>
      </w:pPr>
      <w:r>
        <w:t xml:space="preserve">(48) Section 2055. </w:t>
      </w:r>
      <w:r>
        <w:noBreakHyphen/>
      </w:r>
      <w:r>
        <w:noBreakHyphen/>
        <w:t xml:space="preserve"> Transfers for Public, Charitable, and Religious Uses. </w:t>
      </w:r>
      <w:r>
        <w:noBreakHyphen/>
      </w:r>
      <w:r>
        <w:noBreakHyphen/>
        <w:t xml:space="preserve"> Whether a transfer to a charitable remainder trust described in § 664 that provides for annuity or unitrust payments for one or two measuring lives or a term of years qualifies for a charitable deduction under § 2055(e)(2)(A).</w:t>
      </w:r>
    </w:p>
    <w:p w:rsidR="00800BE7" w:rsidRDefault="00800BE7">
      <w:pPr>
        <w:widowControl/>
        <w:jc w:val="both"/>
      </w:pPr>
    </w:p>
    <w:p w:rsidR="00800BE7" w:rsidRDefault="00800BE7">
      <w:pPr>
        <w:widowControl/>
        <w:ind w:firstLine="720"/>
        <w:jc w:val="both"/>
      </w:pPr>
      <w:r>
        <w:t xml:space="preserve">(49) Section 2503. </w:t>
      </w:r>
      <w:r>
        <w:noBreakHyphen/>
      </w:r>
      <w:r>
        <w:noBreakHyphen/>
        <w:t xml:space="preserve"> Taxable Gifts. </w:t>
      </w:r>
      <w:r>
        <w:noBreakHyphen/>
      </w:r>
      <w:r>
        <w:noBreakHyphen/>
        <w:t xml:space="preserve"> Whether the transfer of property to a trust will be a gift of a present interest in property when (i) the trust corpus consists or will consist substantially of insurance policies on the life of the grantor or the grantor's spouse, (ii) the trustee or any other person has a power to apply the trust's income or corpus to the payment of premiums on policies of insurance on the life of the grantor or the grantor's spouse, (iii) the trustee or any other person has a power to use the trust's assets to make loans to the grantor's estate or to purchase assets from the grantor's estate, (iv) the trust beneficiaries have the power to withdraw, on demand, any additional transfers made to the trust, and (v) there is a right or power in any person that would cause the grantor to be treated as the owner of all or a portion of the trust under §§ 673 to 677.</w:t>
      </w:r>
    </w:p>
    <w:p w:rsidR="00800BE7" w:rsidRDefault="00800BE7">
      <w:pPr>
        <w:widowControl/>
        <w:jc w:val="both"/>
      </w:pPr>
    </w:p>
    <w:p w:rsidR="00800BE7" w:rsidRDefault="00800BE7">
      <w:pPr>
        <w:widowControl/>
        <w:ind w:firstLine="720"/>
        <w:jc w:val="both"/>
      </w:pPr>
      <w:r>
        <w:t xml:space="preserve">(50) Section 2514. </w:t>
      </w:r>
      <w:r>
        <w:noBreakHyphen/>
      </w:r>
      <w:r>
        <w:noBreakHyphen/>
        <w:t xml:space="preserve"> Powers of Appointment. </w:t>
      </w:r>
      <w:r>
        <w:noBreakHyphen/>
      </w:r>
      <w:r>
        <w:noBreakHyphen/>
        <w:t xml:space="preserve"> If the beneficiaries of a trust permit a power of withdrawal to lapse, whether § 2514(e) will be applicable to each beneficiary in regard to the power when (i) the trust corpus consists or will consist substantially of insurance policies on the life of the grantor or the grantor's spouse, (ii) the trustee or any other person has a power to apply the trust's income or corpus to the payment of premiums on policies of insurance on the life of the grantor or the grantor's spouse, (iii) the trustee or any other person has a power to use the trust's assets to make loans to the grantor's estate or to purchase assets from the grantor's estate, (iv) the trust beneficiaries have the power to withdraw, on demand, any additional transfers made to the trust, and (v) there is a right or power in any person that would cause the grantor to be treated as the owner of all or a portion of the trust under §§ 673 to 677.</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ind w:firstLine="720"/>
        <w:jc w:val="both"/>
      </w:pPr>
      <w:r>
        <w:lastRenderedPageBreak/>
        <w:t xml:space="preserve">(51) Section 2522. </w:t>
      </w:r>
      <w:r>
        <w:noBreakHyphen/>
      </w:r>
      <w:r>
        <w:noBreakHyphen/>
        <w:t xml:space="preserve"> Charitable and Similar Gifts. </w:t>
      </w:r>
      <w:r>
        <w:noBreakHyphen/>
      </w:r>
      <w:r>
        <w:noBreakHyphen/>
        <w:t xml:space="preserve"> Whether a transfer to a pooled income fund described in § 642(c)(5) qualifies for a charitable deduction under § 2522(c)(2)(A).</w:t>
      </w:r>
    </w:p>
    <w:p w:rsidR="00800BE7" w:rsidRDefault="00800BE7">
      <w:pPr>
        <w:widowControl/>
        <w:jc w:val="both"/>
      </w:pPr>
    </w:p>
    <w:p w:rsidR="00800BE7" w:rsidRDefault="00800BE7">
      <w:pPr>
        <w:widowControl/>
        <w:ind w:firstLine="720"/>
        <w:jc w:val="both"/>
      </w:pPr>
      <w:r>
        <w:t xml:space="preserve">(52) Section 2522. </w:t>
      </w:r>
      <w:r>
        <w:noBreakHyphen/>
      </w:r>
      <w:r>
        <w:noBreakHyphen/>
        <w:t xml:space="preserve"> Charitable and Similar Gifts. </w:t>
      </w:r>
      <w:r>
        <w:noBreakHyphen/>
      </w:r>
      <w:r>
        <w:noBreakHyphen/>
        <w:t xml:space="preserve"> Whether a transfer to a charitable remainder trust described in § 664 that provides for annuity or unitrust payments for one or two measuring lives or a term of years qualifies for a charitable deduction under § 2522(c)(2)(A).</w:t>
      </w:r>
    </w:p>
    <w:p w:rsidR="00800BE7" w:rsidRDefault="00800BE7">
      <w:pPr>
        <w:widowControl/>
        <w:jc w:val="both"/>
      </w:pPr>
    </w:p>
    <w:p w:rsidR="00800BE7" w:rsidRDefault="00800BE7">
      <w:pPr>
        <w:widowControl/>
        <w:ind w:firstLine="720"/>
        <w:jc w:val="both"/>
      </w:pPr>
      <w:r>
        <w:t xml:space="preserve">(53) Section 2601. </w:t>
      </w:r>
      <w:r>
        <w:noBreakHyphen/>
      </w:r>
      <w:r>
        <w:noBreakHyphen/>
        <w:t xml:space="preserve"> Tax Imposed. </w:t>
      </w:r>
      <w:r>
        <w:noBreakHyphen/>
      </w:r>
      <w:r>
        <w:noBreakHyphen/>
        <w:t xml:space="preserve"> Whether a trust that is exempt from the application of the generation</w:t>
      </w:r>
      <w:r>
        <w:noBreakHyphen/>
        <w:t>skipping transfer tax because it was irrevocable on September 25, 1985, will lose its exempt status if the situs of the trust is changed from the United States to a situs outside of the United States.</w:t>
      </w:r>
    </w:p>
    <w:p w:rsidR="00800BE7" w:rsidRDefault="00800BE7">
      <w:pPr>
        <w:widowControl/>
        <w:jc w:val="both"/>
      </w:pPr>
    </w:p>
    <w:p w:rsidR="00800BE7" w:rsidRDefault="00800BE7">
      <w:pPr>
        <w:widowControl/>
        <w:ind w:firstLine="720"/>
        <w:jc w:val="both"/>
      </w:pPr>
      <w:r>
        <w:t xml:space="preserve">(54) Section 2702. </w:t>
      </w:r>
      <w:r>
        <w:noBreakHyphen/>
      </w:r>
      <w:r>
        <w:noBreakHyphen/>
        <w:t xml:space="preserve"> Special Valuation Rules in Case of Transfers of Interests in Trusts. </w:t>
      </w:r>
      <w:r>
        <w:noBreakHyphen/>
      </w:r>
      <w:r>
        <w:noBreakHyphen/>
        <w:t xml:space="preserve"> Whether annuity interests are qualified annuity interests under § 2702 if the amount of the annuity payable annually is more than 50 percent of the initial net fair market value of the property transferred to the trust, or if the value of the remainder interest is less than 10 percent of the initial net fair market value of the property transferred to the trust. For purposes of the 10 percent test, the value of the remainder interest is the present value determined under § 7520 of the right to receive the trust corpus at the expiration of the term of the trust. The possibility that the grantor may die prior to the expiration of the specified term is not taken into account, nor is the value of any reversion retained by the grantor or the grantor's estate.</w:t>
      </w:r>
    </w:p>
    <w:p w:rsidR="00800BE7" w:rsidRDefault="00800BE7">
      <w:pPr>
        <w:widowControl/>
        <w:jc w:val="both"/>
      </w:pPr>
    </w:p>
    <w:p w:rsidR="00800BE7" w:rsidRDefault="00800BE7">
      <w:pPr>
        <w:widowControl/>
        <w:ind w:firstLine="720"/>
        <w:jc w:val="both"/>
      </w:pPr>
      <w:r>
        <w:t xml:space="preserve">(55) Section 2702 </w:t>
      </w:r>
      <w:r>
        <w:noBreakHyphen/>
        <w:t xml:space="preserve">Special Valuation Rules in Case of Transfers of Interests in Trusts. </w:t>
      </w:r>
      <w:r>
        <w:noBreakHyphen/>
      </w:r>
      <w:r>
        <w:noBreakHyphen/>
        <w:t xml:space="preserve"> Whether a trust with one term holder satisfies the requirements of § 2702(a)(3)(A) and § 25.2702</w:t>
      </w:r>
      <w:r>
        <w:noBreakHyphen/>
        <w:t>5(c) to be a qualified personal residence trust.</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pPr>
      <w:r>
        <w:rPr>
          <w:b/>
          <w:bCs/>
        </w:rPr>
        <w:t>SECTION 5. AREAS UNDER STUDY IN WHICH RULINGS OR DETERMINATION LETTERS WILL NOT BE ISSUED UNTIL THE SERVICE RESOLVES THE ISSUE THROUGH PUBLICATION OF A REVENUE RULING, REVENUE PROCEDURE, REGULATIONS OR OTHERWISE</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pPr>
      <w:r>
        <w:t xml:space="preserve">.02 Sections 101 and 7702. </w:t>
      </w:r>
      <w:r>
        <w:noBreakHyphen/>
      </w:r>
      <w:r>
        <w:noBreakHyphen/>
        <w:t xml:space="preserve"> Certain Death Benefits; Life Insurance Contract Defined. </w:t>
      </w:r>
      <w:r>
        <w:noBreakHyphen/>
      </w:r>
      <w:r>
        <w:noBreakHyphen/>
        <w:t xml:space="preserve"> Whether amounts received under an arrangement that is not regulated as an insurance company may be treated as received under a "life insurance contract" within the meaning of §§ 101(a) and 7702.</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jc w:val="both"/>
      </w:pPr>
      <w:r>
        <w:lastRenderedPageBreak/>
        <w:t xml:space="preserve">.09 Sections 661 and 662. </w:t>
      </w:r>
      <w:r>
        <w:noBreakHyphen/>
      </w:r>
      <w:r>
        <w:noBreakHyphen/>
        <w:t xml:space="preserve"> Deduction for Estates and Trusts Accumulating Income or Distributing Corpus; Inclusion of Amounts in Gross Income of Beneficiaries of Estates and Trusts Accumulating Income or Distributing Corpus. </w:t>
      </w:r>
      <w:r>
        <w:noBreakHyphen/>
      </w:r>
      <w:r>
        <w:noBreakHyphen/>
        <w:t xml:space="preserve"> Whether the distribution of property by a trustee from an irrevocable trust to another irrevocable trust (sometimes referred to as a "decanting") resulting in a change in beneficial interests is a distribution for which a deduction is allowable under § 661 or which requires an amount to be included in the gross income of any person under § 662.</w:t>
      </w:r>
    </w:p>
    <w:p w:rsidR="00800BE7" w:rsidRDefault="00800BE7">
      <w:pPr>
        <w:widowControl/>
        <w:jc w:val="both"/>
      </w:pPr>
    </w:p>
    <w:p w:rsidR="00800BE7" w:rsidRDefault="00800BE7">
      <w:pPr>
        <w:widowControl/>
        <w:jc w:val="both"/>
      </w:pPr>
      <w:r>
        <w:t xml:space="preserve">.10 Sections 671 to 679. </w:t>
      </w:r>
      <w:r>
        <w:noBreakHyphen/>
      </w:r>
      <w:r>
        <w:noBreakHyphen/>
        <w:t xml:space="preserve"> Grantors and Others Treated as Substantial Owners. </w:t>
      </w:r>
      <w:r>
        <w:noBreakHyphen/>
      </w:r>
      <w:r>
        <w:noBreakHyphen/>
        <w:t xml:space="preserve"> Whether an Indian tribe (as defined in 25 U.S.C. § 2703(5)) that establishes a trust to receive and invest per capita payments for its members (regardless of whether they are minors or legal incompetents) under the Indian Gaming Regulatory Act (25 U.S.C. §§ 2701</w:t>
      </w:r>
      <w:r>
        <w:noBreakHyphen/>
        <w:t>2721) is the grantor and owner of the trust if the trust does not meet the requirements of section 5.02 of Rev. Proc. 2003</w:t>
      </w:r>
      <w:r>
        <w:noBreakHyphen/>
        <w:t>14, 2003</w:t>
      </w:r>
      <w:r>
        <w:noBreakHyphen/>
        <w:t>1 C.B. 319.</w:t>
      </w:r>
    </w:p>
    <w:p w:rsidR="00800BE7" w:rsidRDefault="00800BE7">
      <w:pPr>
        <w:widowControl/>
        <w:jc w:val="both"/>
      </w:pPr>
    </w:p>
    <w:p w:rsidR="00800BE7" w:rsidRDefault="00800BE7">
      <w:pPr>
        <w:widowControl/>
        <w:tabs>
          <w:tab w:val="center" w:pos="4682"/>
        </w:tabs>
        <w:jc w:val="both"/>
      </w:pPr>
      <w:r>
        <w:tab/>
        <w:t>* * * *</w:t>
      </w:r>
    </w:p>
    <w:p w:rsidR="00800BE7" w:rsidRDefault="00800BE7">
      <w:pPr>
        <w:widowControl/>
        <w:jc w:val="both"/>
      </w:pPr>
    </w:p>
    <w:p w:rsidR="00800BE7" w:rsidRDefault="00800BE7">
      <w:pPr>
        <w:widowControl/>
        <w:jc w:val="both"/>
      </w:pPr>
      <w:r>
        <w:t xml:space="preserve">.13 Section 2036. </w:t>
      </w:r>
      <w:r>
        <w:noBreakHyphen/>
      </w:r>
      <w:r>
        <w:noBreakHyphen/>
        <w:t xml:space="preserve"> Transfers with Retained Life Estate. </w:t>
      </w:r>
      <w:r>
        <w:noBreakHyphen/>
      </w:r>
      <w:r>
        <w:noBreakHyphen/>
        <w:t xml:space="preserve"> Whether the corpus of a trust will be included in a grantor's estate when the trustee of the trust is a private trust company owned partially or entirely by members of the grantor's family.</w:t>
      </w:r>
    </w:p>
    <w:p w:rsidR="00800BE7" w:rsidRDefault="00800BE7">
      <w:pPr>
        <w:widowControl/>
        <w:jc w:val="both"/>
      </w:pPr>
    </w:p>
    <w:p w:rsidR="00800BE7" w:rsidRDefault="00800BE7">
      <w:pPr>
        <w:widowControl/>
        <w:jc w:val="both"/>
      </w:pPr>
      <w:r>
        <w:t xml:space="preserve">.14 Section 2038. </w:t>
      </w:r>
      <w:r>
        <w:noBreakHyphen/>
      </w:r>
      <w:r>
        <w:noBreakHyphen/>
        <w:t xml:space="preserve"> Revocable Transfers.</w:t>
      </w:r>
      <w:r>
        <w:noBreakHyphen/>
        <w:t>Whether the corpus of a trust will be included in a grantor's estate when the trustee of the trust is a private trust company owned partially or entirely by members of the grantor's family.</w:t>
      </w:r>
    </w:p>
    <w:p w:rsidR="00800BE7" w:rsidRDefault="00800BE7">
      <w:pPr>
        <w:widowControl/>
        <w:jc w:val="both"/>
      </w:pPr>
    </w:p>
    <w:p w:rsidR="00800BE7" w:rsidRDefault="00800BE7">
      <w:pPr>
        <w:widowControl/>
        <w:jc w:val="both"/>
      </w:pPr>
      <w:r>
        <w:t xml:space="preserve">.15 Section 2041. </w:t>
      </w:r>
      <w:r>
        <w:noBreakHyphen/>
      </w:r>
      <w:r>
        <w:noBreakHyphen/>
        <w:t xml:space="preserve"> Powers of Appointment. </w:t>
      </w:r>
      <w:r>
        <w:noBreakHyphen/>
      </w:r>
      <w:r>
        <w:noBreakHyphen/>
        <w:t xml:space="preserve"> Whether the corpus of a trust will be included in an individual's estate when the trustee of the trust is a private trust company owned partially or entirely by members of the individual's family.</w:t>
      </w:r>
    </w:p>
    <w:p w:rsidR="00800BE7" w:rsidRDefault="00800BE7">
      <w:pPr>
        <w:widowControl/>
        <w:jc w:val="both"/>
      </w:pPr>
    </w:p>
    <w:p w:rsidR="00800BE7" w:rsidRDefault="00800BE7">
      <w:pPr>
        <w:widowControl/>
        <w:jc w:val="both"/>
      </w:pPr>
      <w:r>
        <w:t xml:space="preserve">.16 Section 2501. </w:t>
      </w:r>
      <w:r>
        <w:noBreakHyphen/>
      </w:r>
      <w:r>
        <w:noBreakHyphen/>
        <w:t xml:space="preserve"> Imposition of Tax. </w:t>
      </w:r>
      <w:r>
        <w:noBreakHyphen/>
      </w:r>
      <w:r>
        <w:noBreakHyphen/>
        <w:t xml:space="preserve"> Whether the distribution of property by a trustee from an irrevocable trust to another irrevocable trust (sometimes referred to as a "decanting") resulting in a change in beneficial interests is a gift under § 2501.</w:t>
      </w:r>
    </w:p>
    <w:p w:rsidR="00800BE7" w:rsidRDefault="00800BE7">
      <w:pPr>
        <w:widowControl/>
        <w:jc w:val="both"/>
      </w:pPr>
    </w:p>
    <w:p w:rsidR="00800BE7" w:rsidRDefault="00800BE7">
      <w:pPr>
        <w:widowControl/>
        <w:jc w:val="both"/>
      </w:pPr>
      <w:r>
        <w:t xml:space="preserve">.17 Sections 2601 and 2663. </w:t>
      </w:r>
      <w:r>
        <w:noBreakHyphen/>
      </w:r>
      <w:r>
        <w:noBreakHyphen/>
        <w:t xml:space="preserve"> Tax Imposed; Regulations. </w:t>
      </w:r>
      <w:r>
        <w:noBreakHyphen/>
      </w:r>
      <w:r>
        <w:noBreakHyphen/>
        <w:t xml:space="preserve"> Whether the distribution of property by a trustee from an irrevocable generation</w:t>
      </w:r>
      <w:r>
        <w:noBreakHyphen/>
        <w:t>skipping transfer tax (GST) exempt trust to another irrevocable trust (sometimes referred to as a "decanting") resulting in a change in beneficial interests is the loss of GST exempt status or constitutes a taxable termination or taxable distribution under § 2612.</w:t>
      </w: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 xml:space="preserve">7. </w:t>
      </w:r>
      <w:r>
        <w:rPr>
          <w:b/>
          <w:bCs/>
        </w:rPr>
        <w:tab/>
        <w:t>Clause Allowing Disinterested Trustee to Grant Surviving Spouse General Power of Appointment Over Appreciated Assets in Nonmarital Trust, to Take Advantage of Increased Applicable Exclusion Amount under Tax Relief Act of 2010, Pub. L. 111-312, 111</w:t>
      </w:r>
      <w:r>
        <w:rPr>
          <w:b/>
          <w:bCs/>
          <w:vertAlign w:val="superscript"/>
        </w:rPr>
        <w:t>th</w:t>
      </w:r>
      <w:r>
        <w:rPr>
          <w:b/>
          <w:bCs/>
        </w:rPr>
        <w:t xml:space="preserve"> Cong., 2</w:t>
      </w:r>
      <w:r>
        <w:rPr>
          <w:b/>
          <w:bCs/>
          <w:vertAlign w:val="superscript"/>
        </w:rPr>
        <w:t>nd</w:t>
      </w:r>
      <w:r>
        <w:rPr>
          <w:b/>
          <w:bCs/>
        </w:rPr>
        <w:t xml:space="preserve"> Sess. (Dec. 27, 2010) – Used for Trusts that Do Not Continue Long After Surviving Spouse’s Death</w:t>
      </w:r>
      <w:r w:rsidR="00BC7053">
        <w:rPr>
          <w:b/>
          <w:bCs/>
        </w:rPr>
        <w:fldChar w:fldCharType="begin"/>
      </w:r>
      <w:r>
        <w:rPr>
          <w:b/>
          <w:bCs/>
        </w:rPr>
        <w:instrText xml:space="preserve">tc \l1 "7. </w:instrText>
      </w:r>
      <w:r>
        <w:rPr>
          <w:b/>
          <w:bCs/>
        </w:rPr>
        <w:tab/>
        <w:instrText>Clause Allowing Disinterested Trustee to Grant Surviving Spouse General Power of Appointment Over Appreciated Assets in Nonmarital Trust, to Take Advantage of Increased Applicable Exclusion Amount under Tax Relief Act of 2010, Pub. L. 111-312, 111</w:instrText>
      </w:r>
      <w:r>
        <w:rPr>
          <w:b/>
          <w:bCs/>
          <w:vertAlign w:val="superscript"/>
        </w:rPr>
        <w:instrText>th</w:instrText>
      </w:r>
      <w:r>
        <w:rPr>
          <w:b/>
          <w:bCs/>
        </w:rPr>
        <w:instrText xml:space="preserve"> Cong., 2</w:instrText>
      </w:r>
      <w:r>
        <w:rPr>
          <w:b/>
          <w:bCs/>
          <w:vertAlign w:val="superscript"/>
        </w:rPr>
        <w:instrText>nd</w:instrText>
      </w:r>
      <w:r>
        <w:rPr>
          <w:b/>
          <w:bCs/>
        </w:rPr>
        <w:instrText xml:space="preserve"> Sess. (Dec. 27, 2010) – Used for Trusts that Do Not Continue Long After Surviving Spouse’s Death</w:instrText>
      </w:r>
      <w:r w:rsidR="00BC7053">
        <w:rPr>
          <w:b/>
          <w:bCs/>
        </w:rPr>
        <w:fldChar w:fldCharType="end"/>
      </w:r>
    </w:p>
    <w:p w:rsidR="00800BE7" w:rsidRDefault="00800BE7">
      <w:pPr>
        <w:widowControl/>
        <w:jc w:val="both"/>
      </w:pPr>
    </w:p>
    <w:p w:rsidR="00800BE7" w:rsidRDefault="00800BE7">
      <w:pPr>
        <w:widowControl/>
        <w:tabs>
          <w:tab w:val="center" w:pos="4682"/>
        </w:tabs>
        <w:jc w:val="both"/>
      </w:pPr>
      <w:r>
        <w:tab/>
      </w:r>
      <w:r>
        <w:rPr>
          <w:b/>
          <w:bCs/>
        </w:rPr>
        <w:t>ARTICLE __.  Grant of a General Power of Appointment</w:t>
      </w:r>
    </w:p>
    <w:p w:rsidR="00800BE7" w:rsidRDefault="00800BE7">
      <w:pPr>
        <w:widowControl/>
        <w:jc w:val="both"/>
      </w:pPr>
    </w:p>
    <w:p w:rsidR="00800BE7" w:rsidRDefault="00800BE7">
      <w:pPr>
        <w:widowControl/>
        <w:jc w:val="both"/>
      </w:pPr>
    </w:p>
    <w:p w:rsidR="00800BE7" w:rsidRDefault="00800BE7">
      <w:pPr>
        <w:widowControl/>
        <w:ind w:firstLine="720"/>
        <w:jc w:val="both"/>
      </w:pPr>
      <w:r>
        <w:t>A “disinterested trustee” (defined below) may at any time and from time to time grant to my *husband/wife*, if *he/she* survives me, a power to appoint at *his/her* death, all or a portion of the assets of the family trust.</w:t>
      </w:r>
    </w:p>
    <w:p w:rsidR="00800BE7" w:rsidRDefault="00800BE7">
      <w:pPr>
        <w:widowControl/>
        <w:jc w:val="both"/>
      </w:pPr>
    </w:p>
    <w:p w:rsidR="00800BE7" w:rsidRDefault="00800BE7">
      <w:pPr>
        <w:widowControl/>
        <w:ind w:firstLine="720"/>
        <w:jc w:val="both"/>
      </w:pPr>
      <w:r>
        <w:rPr>
          <w:b/>
          <w:bCs/>
        </w:rPr>
        <w:t xml:space="preserve">A.  Granting the Power. </w:t>
      </w:r>
      <w:r>
        <w:t xml:space="preserve"> A disinterested trustee shall grant this power of appointment by an instrument in writing delivered to my *husband/wife*, designating the specific trust assets or fractional share of the trust, which may include the entire trust, over which my *husband/wife* shall hold this power of appointment.</w:t>
      </w:r>
    </w:p>
    <w:p w:rsidR="00800BE7" w:rsidRDefault="00800BE7">
      <w:pPr>
        <w:widowControl/>
        <w:jc w:val="both"/>
      </w:pPr>
    </w:p>
    <w:p w:rsidR="00800BE7" w:rsidRDefault="00800BE7">
      <w:pPr>
        <w:widowControl/>
        <w:ind w:firstLine="720"/>
        <w:jc w:val="both"/>
      </w:pPr>
      <w:r>
        <w:rPr>
          <w:b/>
          <w:bCs/>
        </w:rPr>
        <w:t>B.  Changing or Rescinding a Granted Power.</w:t>
      </w:r>
      <w:r>
        <w:t xml:space="preserve">  A disinterested trustee may revoke any prior grant of a general power of appointment under this article, or change the property to which such previously granted power shall be exercisable, or the terms under which such previously granted power may be exercised.</w:t>
      </w:r>
    </w:p>
    <w:p w:rsidR="00800BE7" w:rsidRDefault="00800BE7">
      <w:pPr>
        <w:widowControl/>
        <w:jc w:val="both"/>
      </w:pPr>
    </w:p>
    <w:p w:rsidR="00800BE7" w:rsidRDefault="00800BE7">
      <w:pPr>
        <w:widowControl/>
        <w:ind w:firstLine="720"/>
        <w:jc w:val="both"/>
      </w:pPr>
      <w:r>
        <w:rPr>
          <w:b/>
          <w:bCs/>
        </w:rPr>
        <w:t xml:space="preserve">C.  Permissible Appointees. </w:t>
      </w:r>
      <w:r>
        <w:t xml:space="preserve"> My *husband/wife* may exercise this power to appoint the subject trust assets to and among a class that includes the estate of my *husband/wife* and the persons who are otherwise current or potential beneficiaries of this trust.</w:t>
      </w:r>
    </w:p>
    <w:p w:rsidR="00800BE7" w:rsidRDefault="00800BE7">
      <w:pPr>
        <w:widowControl/>
        <w:jc w:val="both"/>
      </w:pPr>
    </w:p>
    <w:p w:rsidR="00800BE7" w:rsidRDefault="00800BE7">
      <w:pPr>
        <w:widowControl/>
        <w:ind w:firstLine="1440"/>
        <w:jc w:val="both"/>
      </w:pPr>
      <w:r>
        <w:rPr>
          <w:b/>
          <w:bCs/>
        </w:rPr>
        <w:t xml:space="preserve">1.  Appointment Outright or in Further Trust. </w:t>
      </w:r>
      <w:r>
        <w:t xml:space="preserve"> My *husband/wife* may exercise this power to appoint the trust assets outright or in further trust, and if exercised to appoint in further trust, may appoint on such terms and conditions as *he/she* shall select.</w:t>
      </w:r>
    </w:p>
    <w:p w:rsidR="00800BE7" w:rsidRDefault="00800BE7">
      <w:pPr>
        <w:widowControl/>
        <w:jc w:val="both"/>
      </w:pPr>
    </w:p>
    <w:p w:rsidR="00800BE7" w:rsidRDefault="00800BE7">
      <w:pPr>
        <w:widowControl/>
        <w:ind w:firstLine="1440"/>
        <w:jc w:val="both"/>
      </w:pPr>
      <w:r>
        <w:rPr>
          <w:b/>
          <w:bCs/>
        </w:rPr>
        <w:t xml:space="preserve">2.  Unequal Appointment. </w:t>
      </w:r>
      <w:r>
        <w:t xml:space="preserve"> My *husband/wife* may appoint the trust assets among this class of appointees unequally and in such proportions as *he/she* deems appropriate for any purpose whatsoever.</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 xml:space="preserve">3.  Appointment to My *Husband/Wife*’s Estate. </w:t>
      </w:r>
      <w:r>
        <w:t xml:space="preserve"> My *husband/wife* may appoint trust assets to *his/her* estate only with the express signed written consent of a “nonadverse person” (defined below) designated by the disinterested trustee in the instrument granting the power of appointment under this article. For this purpose, a “nonadverse person” is any person who has no substantial interest in the property subject to the power of appointment, which interest is adverse to the exercise of the power in favor of my *husband/wife*’s estate.  Any attempted appointment to my *husband/wife*’s estate without the express signed written consent of the nonadverse party designated by the </w:t>
      </w:r>
      <w:r>
        <w:lastRenderedPageBreak/>
        <w:t>disinterested trustee who granted *him/her* this power of appointment shall be void and of no effect, and this power of appointment shall be deemed not to have been validly</w:t>
      </w:r>
    </w:p>
    <w:p w:rsidR="00800BE7" w:rsidRDefault="00800BE7">
      <w:pPr>
        <w:widowControl/>
        <w:jc w:val="both"/>
      </w:pPr>
      <w:r>
        <w:t>exercised.</w:t>
      </w:r>
    </w:p>
    <w:p w:rsidR="00800BE7" w:rsidRDefault="00800BE7">
      <w:pPr>
        <w:widowControl/>
        <w:jc w:val="both"/>
      </w:pPr>
    </w:p>
    <w:p w:rsidR="00800BE7" w:rsidRDefault="00800BE7">
      <w:pPr>
        <w:widowControl/>
        <w:ind w:firstLine="720"/>
        <w:jc w:val="both"/>
      </w:pPr>
      <w:r>
        <w:rPr>
          <w:b/>
          <w:bCs/>
        </w:rPr>
        <w:t xml:space="preserve">D.  Exercise of This Power. </w:t>
      </w:r>
      <w:r>
        <w:t xml:space="preserve"> My *husband/wife* may exercise this power of appointment by express reference to this power in *his/her* last will, or by express reference to this power in another dated and notarized writing signed by *him/her*, which writing shall be revocable and ineffective during *his/her* life and effective only upon the death of my *husband/wife*.</w:t>
      </w:r>
    </w:p>
    <w:p w:rsidR="00800BE7" w:rsidRDefault="00800BE7">
      <w:pPr>
        <w:widowControl/>
        <w:jc w:val="both"/>
      </w:pPr>
    </w:p>
    <w:p w:rsidR="00800BE7" w:rsidRDefault="00800BE7">
      <w:pPr>
        <w:widowControl/>
        <w:ind w:firstLine="720"/>
        <w:jc w:val="both"/>
      </w:pPr>
      <w:r>
        <w:rPr>
          <w:b/>
          <w:bCs/>
        </w:rPr>
        <w:t xml:space="preserve">E.  No Liability. </w:t>
      </w:r>
      <w:r>
        <w:t xml:space="preserve"> I recognize the difficulty attendant in the exercise of the power of the disinterested trustee to grant my *husband/wife* a general power of appointment in a manner that best reduces income taxes on the disposition of the distributed assets without also increasing the estate tax obligation of the estate of my *husband/wife*. I direct that the disinterested trustee shall have no liability to any beneficiary of this trust or to any other person for the disinterested trustee’s actions under this article. Without exclusion, the disinterested trustee shall have no liability to any beneficiary or any other person for: (1) failing to grant my *husband/wife* a power of appointment; (2) granting my *hus</w:t>
      </w:r>
      <w:r>
        <w:softHyphen/>
        <w:t>band/wife* a power of appointment that does not cause an amount of trust assets to be included in my *husband/wife*’s gross estate for Federal estate tax purposes that will obtain the optimal income tax benefit for the trust; (3) granting a power of appointment to my *husband/wife* under this instrument, even if such granting causes adverse income or estate tax results; (4) granting a power of appointment to my *husband/wife* that causes more property to be included in *his/her* gross estate than can be sheltered from Federal or state estate taxes by my *husband/wife*’s available exemptions and deductions; and (5) the actions of any nonadverse party in consenting or refusing to consent to the exercise of a granted power of appointed in favor of the estate of my *husband/wife*, or the action of the disinterested trustee in naming or refusing to name such a nonadverse party.  A nonadverse party named by the disinterested trustee shall have no liability to any beneficiary of this trust or to any other person for consenting or refusing to consent to the exercise of any granted power of appointment in favor of the estate of my *husband/wife*.</w:t>
      </w:r>
    </w:p>
    <w:p w:rsidR="00800BE7" w:rsidRDefault="00800BE7">
      <w:pPr>
        <w:widowControl/>
        <w:jc w:val="both"/>
      </w:pPr>
    </w:p>
    <w:p w:rsidR="00800BE7" w:rsidRDefault="00800BE7">
      <w:pPr>
        <w:widowControl/>
        <w:ind w:firstLine="720"/>
        <w:jc w:val="both"/>
      </w:pPr>
      <w:r>
        <w:rPr>
          <w:b/>
          <w:bCs/>
        </w:rPr>
        <w:t xml:space="preserve">F.  Disinterested Trustee” Defined. </w:t>
      </w:r>
      <w:r>
        <w:t xml:space="preserve"> A “disinterested trustee” means a trustee who is not an interested trustee. An “interested trustee” means a trustee who is also (1) a beneficiary of the trust of which he or she is the insured under a policy of insurance owned by a trust of which he or she is a trustee; (2) married to and living together with a beneficiary of the trust of which he or she is a trustee; (3) the father, mother, issue, brother or sister, of a beneficiary of the trust of which he or she is a trustee; (4) an employee of a beneficiary of the trust of which he or she is a trustee; (5) a corporation or any employee of a corporation in which the stock holdings of the trustee and the trust are significant from the viewpoint of voting control; or (6) a subordinate employee of a corporation in which the trustee is an executive.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 xml:space="preserve">8. </w:t>
      </w:r>
      <w:r>
        <w:rPr>
          <w:b/>
          <w:bCs/>
        </w:rPr>
        <w:tab/>
        <w:t>Clause Allowing Disinterested Trustee to Grant Any Beneficiary a General Power of Appointment Over Appreciated Assets in Nonmarital Trust, to Take Advantage of Increased Applicable Exclusion Amount under Tax Relief Act of 2010, Pub. L. 111-312, 111</w:t>
      </w:r>
      <w:r>
        <w:rPr>
          <w:b/>
          <w:bCs/>
          <w:vertAlign w:val="superscript"/>
        </w:rPr>
        <w:t>th</w:t>
      </w:r>
      <w:r>
        <w:rPr>
          <w:b/>
          <w:bCs/>
        </w:rPr>
        <w:t xml:space="preserve"> Cong., 2</w:t>
      </w:r>
      <w:r>
        <w:rPr>
          <w:b/>
          <w:bCs/>
          <w:vertAlign w:val="superscript"/>
        </w:rPr>
        <w:t>nd</w:t>
      </w:r>
      <w:r>
        <w:rPr>
          <w:b/>
          <w:bCs/>
        </w:rPr>
        <w:t xml:space="preserve"> Sess. (Dec. 27, 2010) – Used for Trusts that Continue Long After Surviving Spouse’s Death</w:t>
      </w:r>
      <w:r w:rsidR="00BC7053">
        <w:rPr>
          <w:b/>
          <w:bCs/>
        </w:rPr>
        <w:fldChar w:fldCharType="begin"/>
      </w:r>
      <w:r>
        <w:rPr>
          <w:b/>
          <w:bCs/>
        </w:rPr>
        <w:instrText xml:space="preserve">tc \l1 "8. </w:instrText>
      </w:r>
      <w:r>
        <w:rPr>
          <w:b/>
          <w:bCs/>
        </w:rPr>
        <w:tab/>
        <w:instrText>Clause Allowing Disinterested Trustee to Grant Any Beneficiary a General Power of Appointment Over Appreciated Assets in Nonmarital Trust, to Take Advantage of Increased Applicable Exclusion Amount under Tax Relief Act of 2010, Pub. L. 111-312, 111</w:instrText>
      </w:r>
      <w:r>
        <w:rPr>
          <w:b/>
          <w:bCs/>
          <w:vertAlign w:val="superscript"/>
        </w:rPr>
        <w:instrText>th</w:instrText>
      </w:r>
      <w:r>
        <w:rPr>
          <w:b/>
          <w:bCs/>
        </w:rPr>
        <w:instrText xml:space="preserve"> Cong., 2</w:instrText>
      </w:r>
      <w:r>
        <w:rPr>
          <w:b/>
          <w:bCs/>
          <w:vertAlign w:val="superscript"/>
        </w:rPr>
        <w:instrText>nd</w:instrText>
      </w:r>
      <w:r>
        <w:rPr>
          <w:b/>
          <w:bCs/>
        </w:rPr>
        <w:instrText xml:space="preserve"> Sess. (Dec. 27, 2010) – Used for Trusts that Continue Long After Surviving Spouse’s Death</w:instrText>
      </w:r>
      <w:r w:rsidR="00BC7053">
        <w:rPr>
          <w:b/>
          <w:bCs/>
        </w:rPr>
        <w:fldChar w:fldCharType="end"/>
      </w:r>
    </w:p>
    <w:p w:rsidR="00800BE7" w:rsidRDefault="00800BE7">
      <w:pPr>
        <w:widowControl/>
        <w:jc w:val="both"/>
      </w:pPr>
    </w:p>
    <w:p w:rsidR="00800BE7" w:rsidRDefault="00800BE7">
      <w:pPr>
        <w:widowControl/>
        <w:tabs>
          <w:tab w:val="center" w:pos="4682"/>
        </w:tabs>
        <w:jc w:val="both"/>
      </w:pPr>
      <w:r>
        <w:tab/>
      </w:r>
      <w:r>
        <w:rPr>
          <w:b/>
          <w:bCs/>
        </w:rPr>
        <w:t>ARTICLE __.  Grant of a General Power of Appointment</w:t>
      </w:r>
    </w:p>
    <w:p w:rsidR="00800BE7" w:rsidRDefault="00800BE7">
      <w:pPr>
        <w:widowControl/>
        <w:jc w:val="both"/>
      </w:pPr>
    </w:p>
    <w:p w:rsidR="00800BE7" w:rsidRDefault="00800BE7">
      <w:pPr>
        <w:widowControl/>
        <w:jc w:val="both"/>
      </w:pPr>
    </w:p>
    <w:p w:rsidR="00800BE7" w:rsidRDefault="00800BE7">
      <w:pPr>
        <w:widowControl/>
        <w:ind w:firstLine="720"/>
        <w:jc w:val="both"/>
      </w:pPr>
      <w:r>
        <w:t>A “disinterested trustee” (defined below) may at any time and from time to time grant to any beneficiary of the family trust (the “appointing beneficiary”) a power to appoint at his or her death, all or a portion of the assets of the family trust.</w:t>
      </w:r>
    </w:p>
    <w:p w:rsidR="00800BE7" w:rsidRDefault="00800BE7">
      <w:pPr>
        <w:widowControl/>
        <w:jc w:val="both"/>
      </w:pPr>
    </w:p>
    <w:p w:rsidR="00800BE7" w:rsidRDefault="00800BE7">
      <w:pPr>
        <w:widowControl/>
        <w:ind w:firstLine="720"/>
        <w:jc w:val="both"/>
      </w:pPr>
      <w:r>
        <w:rPr>
          <w:b/>
          <w:bCs/>
        </w:rPr>
        <w:t xml:space="preserve">A.  Granting the Power. </w:t>
      </w:r>
      <w:r>
        <w:t xml:space="preserve"> A disinterested trustee shall grant this power of appointment by an instrument in writing delivered to the appointing beneficiary, designating the specific trust assets or fractional share of the trust, which may include the entire trust, over which the appointing beneficiary shall hold this power of appointment.</w:t>
      </w:r>
    </w:p>
    <w:p w:rsidR="00800BE7" w:rsidRDefault="00800BE7">
      <w:pPr>
        <w:widowControl/>
        <w:jc w:val="both"/>
      </w:pPr>
    </w:p>
    <w:p w:rsidR="00800BE7" w:rsidRDefault="00800BE7">
      <w:pPr>
        <w:widowControl/>
        <w:ind w:firstLine="720"/>
        <w:jc w:val="both"/>
      </w:pPr>
      <w:r>
        <w:rPr>
          <w:b/>
          <w:bCs/>
        </w:rPr>
        <w:t>B.  Changing or Rescinding a Granted Power.</w:t>
      </w:r>
      <w:r>
        <w:t xml:space="preserve">  A disinterested trustee may revoke any prior grant of a general power of appointment under this article, or change the property to which such previously granted power shall be exercisable, or the terms under which such previously granted power may be exercised.</w:t>
      </w:r>
    </w:p>
    <w:p w:rsidR="00800BE7" w:rsidRDefault="00800BE7">
      <w:pPr>
        <w:widowControl/>
        <w:jc w:val="both"/>
      </w:pPr>
    </w:p>
    <w:p w:rsidR="00800BE7" w:rsidRDefault="00800BE7">
      <w:pPr>
        <w:widowControl/>
        <w:ind w:firstLine="720"/>
        <w:jc w:val="both"/>
      </w:pPr>
      <w:r>
        <w:rPr>
          <w:b/>
          <w:bCs/>
        </w:rPr>
        <w:t xml:space="preserve">C.  Permissible Appointees. </w:t>
      </w:r>
      <w:r>
        <w:t xml:space="preserve"> An appointing beneficiary may exercise this power to appoint the subject trust assets to and among a class that includes his or her estate and the persons who are otherwise current or potential beneficiaries of this trust.</w:t>
      </w:r>
    </w:p>
    <w:p w:rsidR="00800BE7" w:rsidRDefault="00800BE7">
      <w:pPr>
        <w:widowControl/>
        <w:jc w:val="both"/>
      </w:pPr>
    </w:p>
    <w:p w:rsidR="00800BE7" w:rsidRDefault="00800BE7">
      <w:pPr>
        <w:widowControl/>
        <w:ind w:firstLine="1440"/>
        <w:jc w:val="both"/>
      </w:pPr>
      <w:r>
        <w:rPr>
          <w:b/>
          <w:bCs/>
        </w:rPr>
        <w:t xml:space="preserve">1.  Appointment Outright or in Further Trust. </w:t>
      </w:r>
      <w:r>
        <w:t xml:space="preserve"> The appointing beneficiary may exercise this power to appoint the trust assets outright or in further trust, and if exercised to appoint in further trust, may appoint on such terms and conditions as he or she shall select.</w:t>
      </w:r>
    </w:p>
    <w:p w:rsidR="00800BE7" w:rsidRDefault="00800BE7">
      <w:pPr>
        <w:widowControl/>
        <w:jc w:val="both"/>
      </w:pPr>
    </w:p>
    <w:p w:rsidR="00800BE7" w:rsidRDefault="00800BE7">
      <w:pPr>
        <w:widowControl/>
        <w:ind w:firstLine="1440"/>
        <w:jc w:val="both"/>
      </w:pPr>
      <w:r>
        <w:rPr>
          <w:b/>
          <w:bCs/>
        </w:rPr>
        <w:t xml:space="preserve">2.  Unequal Appointment. </w:t>
      </w:r>
      <w:r>
        <w:t xml:space="preserve"> The appointing beneficiary may appoint the trust assets among this class of appointees unequally and in such proportions as *he/she* deems appropriate for any purpose whatsoever.</w:t>
      </w:r>
    </w:p>
    <w:p w:rsidR="00800BE7" w:rsidRDefault="00800BE7">
      <w:pPr>
        <w:widowControl/>
        <w:jc w:val="both"/>
      </w:pPr>
    </w:p>
    <w:p w:rsidR="00800BE7" w:rsidRDefault="00800BE7">
      <w:pPr>
        <w:widowControl/>
        <w:jc w:val="both"/>
        <w:sectPr w:rsidR="00800BE7">
          <w:pgSz w:w="12240" w:h="15840"/>
          <w:pgMar w:top="1440" w:right="1440" w:bottom="1440" w:left="1435" w:header="1440" w:footer="1440" w:gutter="0"/>
          <w:cols w:space="720"/>
          <w:noEndnote/>
        </w:sectPr>
      </w:pPr>
    </w:p>
    <w:p w:rsidR="00800BE7" w:rsidRDefault="00800BE7">
      <w:pPr>
        <w:widowControl/>
        <w:ind w:firstLine="1440"/>
        <w:jc w:val="both"/>
      </w:pPr>
      <w:r>
        <w:rPr>
          <w:b/>
          <w:bCs/>
        </w:rPr>
        <w:lastRenderedPageBreak/>
        <w:t xml:space="preserve">3.  Appointment to The Appointing Beneficiary’s Estate. </w:t>
      </w:r>
      <w:r>
        <w:t xml:space="preserve"> The appointing beneficiary may appoint trust assets to his or her estate only with the express signed written consent of a “nonadverse person” (defined below) designated by the disinterested trustee in the instrument granting the power of appointment under this article. For this purpose, a “nonadverse person” is any person who has no substantial interest in the property subject to the power held by the appointing beneficiary, which interest is adverse to the exercise of the power in favor of the appointing beneficiary’s estate.  Any attempted appointment to the appointing beneficiary’s estate without the express signed written </w:t>
      </w:r>
      <w:r>
        <w:lastRenderedPageBreak/>
        <w:t>consent of the nonadverse party designated by the disinterested trustee who granted him or her this power of appointment shall be void and of no effect, and this power of appointment shall be deemed not to have been validly exercised.</w:t>
      </w:r>
    </w:p>
    <w:p w:rsidR="00800BE7" w:rsidRDefault="00800BE7">
      <w:pPr>
        <w:widowControl/>
        <w:jc w:val="both"/>
      </w:pPr>
    </w:p>
    <w:p w:rsidR="00800BE7" w:rsidRDefault="00800BE7">
      <w:pPr>
        <w:widowControl/>
        <w:ind w:firstLine="720"/>
        <w:jc w:val="both"/>
      </w:pPr>
      <w:r>
        <w:rPr>
          <w:b/>
          <w:bCs/>
        </w:rPr>
        <w:t xml:space="preserve">D.  Exercise of This Power. </w:t>
      </w:r>
      <w:r>
        <w:t xml:space="preserve"> The appointing beneficiary may exercise this power of appointment by express reference to this power in his or her last will, or by express reference to this power in another dated and notarized writing signed by him or her, which writing shall be revocable and ineffective during his or her life and effective only upon the death of the appointing beneficiary.</w:t>
      </w:r>
    </w:p>
    <w:p w:rsidR="00800BE7" w:rsidRDefault="00800BE7">
      <w:pPr>
        <w:widowControl/>
        <w:jc w:val="both"/>
      </w:pPr>
    </w:p>
    <w:p w:rsidR="00800BE7" w:rsidRDefault="00800BE7">
      <w:pPr>
        <w:widowControl/>
        <w:ind w:firstLine="720"/>
        <w:jc w:val="both"/>
      </w:pPr>
      <w:r>
        <w:rPr>
          <w:b/>
          <w:bCs/>
        </w:rPr>
        <w:t xml:space="preserve">E.  No Liability. </w:t>
      </w:r>
      <w:r>
        <w:t xml:space="preserve"> I recognize the difficulty attendant in the exercise of the power of the disinterested trustee to grant the appointing beneficiary a general power of appointment in a manner that best reduces income taxes on the disposition of the distributed assets without also increasing the estate tax obligation of the estate of the appointing beneficiary. I direct that the disinterested trustee shall have no liability to any beneficiary of this trust or to any other person for the disinterested trustee’s actions under this article. Without exclusion, the disinterested trustee shall have no liability to any beneficiary or any other person for: (1) failing to grant any beneficiary a power of appointment; (2) granting any beneficiary a power of appointment that does not cause an amount of trust assets to be included in such beneficiary’s gross estate for Federal estate tax purposes that will obtain the optimal income tax benefit for the trust; (3) granting a power of appointment to any beneficiary under this instrument, even if such granting causes adverse income or estate tax results; (4) granting a power of appointment to any beneficiary that causes more property to be included in his or her gross estate than can be sheltered from Federal or state estate taxes by the appointing beneficiary’s available exemptions and deductions; and (5) the actions of any nonadverse party in consenting or refusing to consent to the exercise of a granted power of appointed in favor of the estate of an appointing beneficiary, or the action of the disinterested trustee in naming or refusing to name such a nonadverse party.  A nonadverse party named by the disinterested trustee shall have no liability to any beneficiary of this trust or to any other person for consenting or refusing to consent to the exercise of any granted power of appointment in favor of the estate of an appointing beneficiary.</w:t>
      </w:r>
    </w:p>
    <w:p w:rsidR="00800BE7" w:rsidRDefault="00800BE7">
      <w:pPr>
        <w:widowControl/>
        <w:jc w:val="both"/>
      </w:pPr>
    </w:p>
    <w:p w:rsidR="00800BE7" w:rsidRDefault="00800BE7">
      <w:pPr>
        <w:widowControl/>
        <w:ind w:firstLine="720"/>
        <w:jc w:val="both"/>
      </w:pPr>
      <w:r>
        <w:rPr>
          <w:b/>
          <w:bCs/>
        </w:rPr>
        <w:t xml:space="preserve">F.  Disinterested Trustee” Defined. </w:t>
      </w:r>
      <w:r>
        <w:t xml:space="preserve"> A “disinterested trustee” means a trustee who is not an interested trustee. An “interested trustee” means a trustee who is also (1) a beneficiary of the trust of which he or she is insured under a policy of insurance owned by a trust of which he or she is a trustee; (2) married to and living together with a beneficiary of the trust of which he or she is a trustee; (3) the father, mother, issue, brother or sister, of a beneficiary of the trust of which he or she is a trustee; (4) an employee of a beneficiary of the trust of which he or she is a trustee; (5) a corporation or any employee of a corporation in which the stock holdings of the trustee and the trust are significant from the viewpoint of voting control; or (6) a subordinate employee of a corporation in which the trustee is an executive.</w:t>
      </w:r>
    </w:p>
    <w:p w:rsidR="00800BE7" w:rsidRDefault="00800BE7">
      <w:pPr>
        <w:widowControl/>
        <w:jc w:val="both"/>
      </w:pPr>
    </w:p>
    <w:p w:rsidR="00800BE7" w:rsidRDefault="00800BE7">
      <w:pPr>
        <w:widowControl/>
        <w:jc w:val="both"/>
        <w:sectPr w:rsidR="00800BE7">
          <w:type w:val="continuous"/>
          <w:pgSz w:w="12240" w:h="15840"/>
          <w:pgMar w:top="1440" w:right="1440" w:bottom="1440" w:left="1435" w:header="1440" w:footer="1440" w:gutter="0"/>
          <w:cols w:space="720"/>
          <w:noEndnote/>
        </w:sectPr>
      </w:pPr>
    </w:p>
    <w:p w:rsidR="00800BE7" w:rsidRDefault="00800BE7">
      <w:pPr>
        <w:widowControl/>
        <w:tabs>
          <w:tab w:val="left" w:pos="-1440"/>
        </w:tabs>
        <w:ind w:left="720" w:hanging="720"/>
        <w:jc w:val="both"/>
      </w:pPr>
      <w:r>
        <w:rPr>
          <w:b/>
          <w:bCs/>
        </w:rPr>
        <w:lastRenderedPageBreak/>
        <w:t xml:space="preserve">9.  </w:t>
      </w:r>
      <w:r>
        <w:rPr>
          <w:b/>
          <w:bCs/>
        </w:rPr>
        <w:tab/>
        <w:t>Direction to Executor to Elect to Give the Surviving Spouse the Decedent’s Unused Applicable Exclusion Amount</w:t>
      </w:r>
      <w:r w:rsidR="00BC7053">
        <w:rPr>
          <w:b/>
          <w:bCs/>
        </w:rPr>
        <w:fldChar w:fldCharType="begin"/>
      </w:r>
      <w:r>
        <w:rPr>
          <w:b/>
          <w:bCs/>
        </w:rPr>
        <w:instrText xml:space="preserve">tc \l1 "9.  </w:instrText>
      </w:r>
      <w:r>
        <w:rPr>
          <w:b/>
          <w:bCs/>
        </w:rPr>
        <w:tab/>
        <w:instrText>Direction to Executor to Elect to Give the Surviving Spouse the Decedent’s Unused Applicable Exclusion Amount</w:instrText>
      </w:r>
      <w:r w:rsidR="00BC7053">
        <w:rPr>
          <w:b/>
          <w:bCs/>
        </w:rPr>
        <w:fldChar w:fldCharType="end"/>
      </w:r>
      <w:r>
        <w:rPr>
          <w:b/>
          <w:bCs/>
        </w:rPr>
        <w:t>.</w:t>
      </w:r>
    </w:p>
    <w:p w:rsidR="00800BE7" w:rsidRDefault="00800BE7">
      <w:pPr>
        <w:widowControl/>
        <w:jc w:val="both"/>
      </w:pPr>
    </w:p>
    <w:p w:rsidR="00800BE7" w:rsidRDefault="00800BE7">
      <w:pPr>
        <w:widowControl/>
        <w:jc w:val="both"/>
      </w:pPr>
    </w:p>
    <w:p w:rsidR="00800BE7" w:rsidRDefault="00800BE7">
      <w:pPr>
        <w:widowControl/>
        <w:ind w:firstLine="720"/>
        <w:jc w:val="both"/>
      </w:pPr>
      <w:r>
        <w:rPr>
          <w:b/>
          <w:bCs/>
        </w:rPr>
        <w:t>__.</w:t>
      </w:r>
      <w:r>
        <w:rPr>
          <w:b/>
          <w:bCs/>
        </w:rPr>
        <w:tab/>
        <w:t xml:space="preserve">Deceased Spousal Unused Exclusion Amount Election. </w:t>
      </w:r>
      <w:r>
        <w:t xml:space="preserve"> I direct that my executor shall do all things necessary to make a valid election to allow my surviving spouse to have the benefit of my deceased spousal unused exclusion amount, to the greatest extent permitted under applicable federal estate tax law.  My surviving spouse shall have no obligation to make any payment to my estate or to the other beneficiaries of my estate in order for my executor to make or because my executor has made this election, nor shall any equitable adjustment be made with respect to the dispositions under my estate because my executor has made this election.</w:t>
      </w:r>
    </w:p>
    <w:p w:rsidR="00800BE7" w:rsidRDefault="00800BE7">
      <w:pPr>
        <w:widowControl/>
        <w:jc w:val="both"/>
      </w:pPr>
    </w:p>
    <w:sectPr w:rsidR="00800BE7" w:rsidSect="00800BE7">
      <w:pgSz w:w="12240" w:h="15840"/>
      <w:pgMar w:top="1440" w:right="1440" w:bottom="1440" w:left="1435"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EF" w:rsidRDefault="004E21EF" w:rsidP="00800BE7">
      <w:r>
        <w:separator/>
      </w:r>
    </w:p>
  </w:endnote>
  <w:endnote w:type="continuationSeparator" w:id="0">
    <w:p w:rsidR="004E21EF" w:rsidRDefault="004E21EF" w:rsidP="00800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E7" w:rsidRDefault="00800BE7">
    <w:pPr>
      <w:spacing w:line="240" w:lineRule="exact"/>
    </w:pPr>
  </w:p>
  <w:p w:rsidR="00800BE7" w:rsidRDefault="00800BE7">
    <w:pPr>
      <w:tabs>
        <w:tab w:val="center" w:pos="4680"/>
      </w:tabs>
    </w:pPr>
    <w:r>
      <w:tab/>
      <w:t xml:space="preserve">Zaritsky, </w:t>
    </w:r>
    <w:r>
      <w:rPr>
        <w:i/>
        <w:iCs/>
      </w:rPr>
      <w:t>The Year in Review</w:t>
    </w:r>
    <w:r>
      <w:t xml:space="preserve">  page </w:t>
    </w:r>
    <w:fldSimple w:instr="PAGE ">
      <w:r w:rsidR="006D2857">
        <w:rPr>
          <w:noProof/>
        </w:rPr>
        <w:t>205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EF" w:rsidRDefault="004E21EF" w:rsidP="00800BE7">
      <w:r>
        <w:separator/>
      </w:r>
    </w:p>
  </w:footnote>
  <w:footnote w:type="continuationSeparator" w:id="0">
    <w:p w:rsidR="004E21EF" w:rsidRDefault="004E21EF" w:rsidP="00800BE7">
      <w:r>
        <w:continuationSeparator/>
      </w:r>
    </w:p>
  </w:footnote>
  <w:footnote w:id="1">
    <w:p w:rsidR="00800BE7" w:rsidRDefault="00800BE7">
      <w:pPr>
        <w:jc w:val="both"/>
      </w:pPr>
      <w:r>
        <w:rPr>
          <w:rStyle w:val="FootnoteReference"/>
          <w:vertAlign w:val="superscript"/>
        </w:rPr>
        <w:footnoteRef/>
      </w:r>
      <w:r>
        <w:t xml:space="preserve">  Private letter rulings (PLRs) and technical advice memoranda (TAMs) are not legal precedents.  Code § 6110(k)(3).  They may, however, show how the IRS might address a similar case, and they have been cited and discussed by several courts.  See, </w:t>
      </w:r>
      <w:r>
        <w:rPr>
          <w:i/>
          <w:iCs/>
        </w:rPr>
        <w:t>e.g.</w:t>
      </w:r>
      <w:r>
        <w:t xml:space="preserve">, </w:t>
      </w:r>
      <w:r>
        <w:rPr>
          <w:i/>
          <w:iCs/>
        </w:rPr>
        <w:t>Wolpaw v. Comm’r</w:t>
      </w:r>
      <w:r>
        <w:t xml:space="preserve">, 747 F.3d 787 (6th Cir. 1995), </w:t>
      </w:r>
      <w:r>
        <w:rPr>
          <w:i/>
          <w:iCs/>
        </w:rPr>
        <w:t>rev’g</w:t>
      </w:r>
      <w:r>
        <w:t xml:space="preserve"> T.C. Memo. 1993-322 (taxpayers can rely on 20</w:t>
      </w:r>
      <w:r>
        <w:noBreakHyphen/>
        <w:t xml:space="preserve">year old PLR, absent definitive regulations); </w:t>
      </w:r>
      <w:r>
        <w:rPr>
          <w:i/>
          <w:iCs/>
        </w:rPr>
        <w:t>Estate of Blackford v. Comm’r</w:t>
      </w:r>
      <w:r>
        <w:t xml:space="preserve">, 77 T.C. 1246 (1982) (noting that the IRS litigation position was contrary to a prior PLR); </w:t>
      </w:r>
      <w:r>
        <w:rPr>
          <w:i/>
          <w:iCs/>
        </w:rPr>
        <w:t>Xerox Corp. v. U.S.</w:t>
      </w:r>
      <w:r>
        <w:t xml:space="preserve">, 656 F.2d 659 (Ct. Cl. 1981) (stating that PLRs are useful in ascertaining the scope of the doctrine adopted by the IRS and demonstrating its continued and consistent application by the IRS); </w:t>
      </w:r>
      <w:r>
        <w:rPr>
          <w:i/>
          <w:iCs/>
        </w:rPr>
        <w:t>Fanning v. U.S.</w:t>
      </w:r>
      <w:r>
        <w:t>, 568 F.Supp. 823 (E.D. Wash. 1983) (noting that a distinction between the facts of the instant case and those of prior cases had been cited in a TAM, and that TAMs are often relied upon by the courts).</w:t>
      </w:r>
    </w:p>
    <w:p w:rsidR="00800BE7" w:rsidRDefault="00800BE7">
      <w:pPr>
        <w:spacing w:after="240"/>
        <w:ind w:firstLine="720"/>
        <w:jc w:val="both"/>
      </w:pPr>
      <w:r>
        <w:t>All references to “Code” are to the Internal Revenue Code of 1986, as amended to date, unless otherwise specifically indicated.</w:t>
      </w:r>
    </w:p>
  </w:footnote>
  <w:footnote w:id="2">
    <w:p w:rsidR="00800BE7" w:rsidRDefault="00800BE7">
      <w:pPr>
        <w:spacing w:after="240"/>
        <w:jc w:val="both"/>
      </w:pPr>
      <w:r>
        <w:rPr>
          <w:rStyle w:val="FootnoteReference"/>
          <w:vertAlign w:val="superscript"/>
        </w:rPr>
        <w:footnoteRef/>
      </w:r>
      <w:r>
        <w:t xml:space="preserve">  First names are often used in this outline for clarity, without implying familiarity or intending disrespect.</w:t>
      </w:r>
    </w:p>
  </w:footnote>
  <w:footnote w:id="3">
    <w:p w:rsidR="00800BE7" w:rsidRDefault="00800BE7">
      <w:pPr>
        <w:ind w:left="5"/>
        <w:jc w:val="both"/>
      </w:pPr>
      <w:r>
        <w:rPr>
          <w:rStyle w:val="FootnoteReference"/>
          <w:vertAlign w:val="superscript"/>
        </w:rPr>
        <w:footnoteRef/>
      </w:r>
      <w:r>
        <w:t xml:space="preserve">  </w:t>
      </w:r>
      <w:r>
        <w:rPr>
          <w:b/>
          <w:bCs/>
        </w:rPr>
        <w:t xml:space="preserve"> KEY:</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3605" w:hanging="2880"/>
        <w:jc w:val="both"/>
      </w:pPr>
      <w:r>
        <w:t>*GeneralPartner*</w:t>
      </w:r>
      <w:r>
        <w:tab/>
        <w:t>-</w:t>
      </w:r>
      <w:r>
        <w:tab/>
        <w:t>Full name of general partner</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3605" w:hanging="2880"/>
        <w:jc w:val="both"/>
      </w:pPr>
      <w:r>
        <w:t>*LimitedPartner1*</w:t>
      </w:r>
      <w:r>
        <w:tab/>
        <w:t>-</w:t>
      </w:r>
      <w:r>
        <w:tab/>
        <w:t>Full name of first limited partner</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3605" w:hanging="2880"/>
        <w:jc w:val="both"/>
      </w:pPr>
      <w:r>
        <w:t>*LimitedPartner2*</w:t>
      </w:r>
      <w:r>
        <w:tab/>
        <w:t>-</w:t>
      </w:r>
      <w:r>
        <w:tab/>
        <w:t>Full name of second limited partner</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3605" w:hanging="2880"/>
        <w:jc w:val="both"/>
      </w:pPr>
      <w:r>
        <w:t>*Name*</w:t>
      </w:r>
      <w:r>
        <w:tab/>
      </w:r>
      <w:r>
        <w:tab/>
        <w:t>-</w:t>
      </w:r>
      <w:r>
        <w:tab/>
        <w:t>Full Name of the partnership</w:t>
      </w:r>
    </w:p>
    <w:p w:rsidR="00800BE7" w:rsidRDefault="00800BE7">
      <w:pPr>
        <w:ind w:left="5" w:firstLine="720"/>
        <w:jc w:val="both"/>
      </w:pPr>
      <w:r>
        <w:t>*Agent*</w:t>
      </w:r>
      <w:r>
        <w:tab/>
      </w:r>
      <w:r>
        <w:tab/>
        <w:t>-</w:t>
      </w:r>
      <w:r>
        <w:tab/>
        <w:t>Full name of registered agent</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spacing w:after="240"/>
        <w:ind w:left="3605" w:hanging="2880"/>
        <w:jc w:val="both"/>
      </w:pPr>
      <w:r>
        <w:t>*State*</w:t>
      </w:r>
      <w:r>
        <w:tab/>
      </w:r>
      <w:r>
        <w:tab/>
        <w:t>-</w:t>
      </w:r>
      <w:r>
        <w:tab/>
        <w:t>State in which the partnership is formed</w:t>
      </w:r>
    </w:p>
  </w:footnote>
  <w:footnote w:id="4">
    <w:p w:rsidR="00800BE7" w:rsidRDefault="00800BE7">
      <w:pPr>
        <w:ind w:left="5"/>
        <w:jc w:val="both"/>
      </w:pPr>
      <w:r>
        <w:rPr>
          <w:rStyle w:val="FootnoteReference"/>
          <w:vertAlign w:val="superscript"/>
        </w:rPr>
        <w:footnoteRef/>
      </w:r>
      <w:r>
        <w:t xml:space="preserve">   KEY:</w:t>
      </w:r>
    </w:p>
    <w:p w:rsidR="00800BE7" w:rsidRDefault="00800BE7">
      <w:pPr>
        <w:ind w:left="5" w:firstLine="720"/>
        <w:jc w:val="both"/>
      </w:pPr>
      <w:r>
        <w:t>*Donor*</w:t>
      </w:r>
      <w:r>
        <w:tab/>
      </w:r>
      <w:r>
        <w:tab/>
        <w:t>-</w:t>
      </w:r>
      <w:r>
        <w:tab/>
        <w:t>Full name of donor of limited partnership interest</w:t>
      </w:r>
    </w:p>
    <w:p w:rsidR="00800BE7" w:rsidRDefault="00800BE7">
      <w:pPr>
        <w:ind w:left="5" w:firstLine="720"/>
        <w:jc w:val="both"/>
      </w:pPr>
      <w:r>
        <w:t>*Donee*</w:t>
      </w:r>
      <w:r>
        <w:tab/>
      </w:r>
      <w:r>
        <w:tab/>
        <w:t xml:space="preserve">-- </w:t>
      </w:r>
      <w:r>
        <w:tab/>
        <w:t>Full name of donee of limited partnership interest</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3605" w:hanging="2880"/>
        <w:jc w:val="both"/>
      </w:pPr>
      <w:r>
        <w:t>*Short4Donee*</w:t>
      </w:r>
      <w:r>
        <w:tab/>
        <w:t>--</w:t>
      </w:r>
      <w:r>
        <w:tab/>
        <w:t>Shorthand for donee of limited partnership interest, such as "Howard" or "Mr. Zaritsky" or "Shorty" or "the Donee".</w:t>
      </w:r>
    </w:p>
    <w:p w:rsidR="00800BE7" w:rsidRDefault="00800BE7">
      <w:pPr>
        <w:ind w:left="5" w:firstLine="720"/>
        <w:jc w:val="both"/>
      </w:pPr>
      <w:r>
        <w:t>*Name*</w:t>
      </w:r>
      <w:r>
        <w:tab/>
      </w:r>
      <w:r>
        <w:tab/>
        <w:t>--</w:t>
      </w:r>
      <w:r>
        <w:tab/>
        <w:t>Full name of the partnership</w:t>
      </w:r>
    </w:p>
    <w:p w:rsidR="00800BE7" w:rsidRDefault="00800BE7">
      <w:pPr>
        <w:ind w:left="5" w:firstLine="720"/>
        <w:jc w:val="both"/>
      </w:pPr>
      <w:r>
        <w:t>*he/she*</w:t>
      </w:r>
      <w:r>
        <w:tab/>
      </w:r>
      <w:r>
        <w:tab/>
        <w:t>--</w:t>
      </w:r>
      <w:r>
        <w:tab/>
        <w:t>"he" or "she", referring to the donee</w:t>
      </w:r>
    </w:p>
    <w:p w:rsidR="00800BE7" w:rsidRDefault="00800BE7">
      <w:pPr>
        <w:spacing w:after="240"/>
        <w:ind w:left="5" w:firstLine="720"/>
        <w:jc w:val="both"/>
      </w:pPr>
      <w:r>
        <w:t>*him/her*</w:t>
      </w:r>
      <w:r>
        <w:tab/>
      </w:r>
      <w:r>
        <w:tab/>
        <w:t>--</w:t>
      </w:r>
      <w:r>
        <w:tab/>
        <w:t>"him" or "her", referring to the donee</w:t>
      </w:r>
    </w:p>
  </w:footnote>
  <w:footnote w:id="5">
    <w:p w:rsidR="00800BE7" w:rsidRDefault="00800BE7">
      <w:pPr>
        <w:ind w:left="5"/>
        <w:jc w:val="both"/>
      </w:pPr>
      <w:r>
        <w:rPr>
          <w:rStyle w:val="FootnoteReference"/>
          <w:vertAlign w:val="superscript"/>
        </w:rPr>
        <w:footnoteRef/>
      </w:r>
      <w:r>
        <w:t xml:space="preserve">   KEY:</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2885" w:hanging="2160"/>
        <w:jc w:val="both"/>
      </w:pPr>
      <w:r>
        <w:t>*PR*</w:t>
      </w:r>
      <w:r>
        <w:tab/>
      </w:r>
      <w:r>
        <w:tab/>
        <w:t>--</w:t>
      </w:r>
      <w:r>
        <w:tab/>
        <w:t>Name of personal representative of decedent’s estate</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2885" w:hanging="2160"/>
        <w:jc w:val="both"/>
      </w:pPr>
      <w:r>
        <w:t>*Decedent*</w:t>
      </w:r>
      <w:r>
        <w:tab/>
        <w:t>--</w:t>
      </w:r>
      <w:r>
        <w:tab/>
        <w:t>Full name of decedent</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2885" w:hanging="2160"/>
        <w:jc w:val="both"/>
      </w:pPr>
      <w:r>
        <w:t>*Lender*</w:t>
      </w:r>
      <w:r>
        <w:tab/>
        <w:t>--</w:t>
      </w:r>
      <w:r>
        <w:tab/>
        <w:t>Full name of lender</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2885" w:hanging="2160"/>
        <w:jc w:val="both"/>
      </w:pPr>
      <w:r>
        <w:t>*Sum*</w:t>
      </w:r>
      <w:r>
        <w:tab/>
      </w:r>
      <w:r>
        <w:tab/>
        <w:t>--</w:t>
      </w:r>
      <w:r>
        <w:tab/>
        <w:t>Amount borrowed, expressed in both words and numbers, such as “One Hundred Dollars ($100.00)”</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2885" w:hanging="2160"/>
        <w:jc w:val="both"/>
      </w:pPr>
      <w:r>
        <w:t>*Rate*</w:t>
      </w:r>
      <w:r>
        <w:tab/>
      </w:r>
      <w:r>
        <w:tab/>
        <w:t>--</w:t>
      </w:r>
      <w:r>
        <w:tab/>
        <w:t>Interest rate, expressed in both words and numbers, such as “Three Percent (3%)”</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spacing w:after="240"/>
        <w:ind w:left="2885" w:hanging="2160"/>
        <w:jc w:val="both"/>
      </w:pPr>
      <w:r>
        <w:t>*Term*</w:t>
      </w:r>
      <w:r>
        <w:tab/>
        <w:t>--</w:t>
      </w:r>
      <w:r>
        <w:tab/>
        <w:t>Year in which the note matures, expressed as “Fifth”, “Sixth” etc.</w:t>
      </w:r>
    </w:p>
  </w:footnote>
  <w:footnote w:id="6">
    <w:p w:rsidR="00800BE7" w:rsidRDefault="00800BE7">
      <w:pPr>
        <w:ind w:left="5"/>
        <w:jc w:val="both"/>
      </w:pPr>
      <w:r>
        <w:rPr>
          <w:rStyle w:val="FootnoteReference"/>
          <w:vertAlign w:val="superscript"/>
        </w:rPr>
        <w:footnoteRef/>
      </w:r>
      <w:r>
        <w:t xml:space="preserve">  </w:t>
      </w:r>
      <w:r>
        <w:rPr>
          <w:b/>
          <w:bCs/>
        </w:rPr>
        <w:t xml:space="preserve"> KEY:</w:t>
      </w:r>
    </w:p>
    <w:p w:rsidR="00800BE7" w:rsidRDefault="00800BE7">
      <w:pPr>
        <w:ind w:left="5"/>
        <w:jc w:val="both"/>
      </w:pP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4325" w:hanging="3600"/>
        <w:jc w:val="both"/>
      </w:pPr>
      <w:r>
        <w:t>*Grantor*</w:t>
      </w:r>
      <w:r>
        <w:tab/>
      </w:r>
      <w:r>
        <w:tab/>
      </w:r>
      <w:r>
        <w:tab/>
        <w:t>--</w:t>
      </w:r>
      <w:r>
        <w:tab/>
        <w:t>Full name of the grantor</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4325" w:hanging="3600"/>
        <w:jc w:val="both"/>
      </w:pPr>
      <w:r>
        <w:t>*Short4Grantor*</w:t>
      </w:r>
      <w:r>
        <w:tab/>
      </w:r>
      <w:r>
        <w:tab/>
        <w:t>--</w:t>
      </w:r>
      <w:r>
        <w:tab/>
        <w:t>Shorthand description of the grantor, such as “Mr. Zaritsky” or “Howard” or “Stinky”</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4325" w:hanging="3600"/>
        <w:jc w:val="both"/>
      </w:pPr>
      <w:r>
        <w:t>*NoncharitableDonee*</w:t>
      </w:r>
      <w:r>
        <w:tab/>
        <w:t>--</w:t>
      </w:r>
      <w:r>
        <w:tab/>
        <w:t>Full name of noncharitable donee; if a trust, the donee should be identified with the name of the trustee and the name of the trust, such as “Trust Company of Virginia, trustee for the Howard M. Zaritsky Intentional Grantor Trust, dated January 1, 2009"</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4325" w:hanging="3600"/>
        <w:jc w:val="both"/>
      </w:pPr>
      <w:r>
        <w:t>*Short4NoncharitableDonee*--</w:t>
      </w:r>
      <w:r>
        <w:tab/>
        <w:t>Shorthand description of the noncharitable donee, such as “Ms. Jones” or “Lolla” or “the Trust”</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ind w:left="4325" w:hanging="3600"/>
        <w:jc w:val="both"/>
      </w:pPr>
      <w:r>
        <w:t>*Charity*</w:t>
      </w:r>
      <w:r>
        <w:tab/>
      </w:r>
      <w:r>
        <w:tab/>
      </w:r>
      <w:r>
        <w:tab/>
        <w:t>--</w:t>
      </w:r>
      <w:r>
        <w:tab/>
        <w:t>Full name of charitable donee</w:t>
      </w:r>
    </w:p>
    <w:p w:rsidR="00800BE7" w:rsidRDefault="00800BE7">
      <w:pPr>
        <w:tabs>
          <w:tab w:val="left" w:pos="-1435"/>
          <w:tab w:val="left" w:pos="-715"/>
          <w:tab w:val="left" w:pos="5"/>
          <w:tab w:val="left" w:pos="725"/>
          <w:tab w:val="left" w:pos="1445"/>
          <w:tab w:val="left" w:pos="2165"/>
          <w:tab w:val="left" w:pos="2885"/>
          <w:tab w:val="left" w:pos="3605"/>
          <w:tab w:val="left" w:pos="4325"/>
          <w:tab w:val="left" w:pos="5045"/>
          <w:tab w:val="left" w:pos="5765"/>
          <w:tab w:val="left" w:pos="6485"/>
          <w:tab w:val="left" w:pos="7205"/>
          <w:tab w:val="left" w:pos="7925"/>
          <w:tab w:val="left" w:pos="8645"/>
          <w:tab w:val="left" w:pos="9365"/>
        </w:tabs>
        <w:spacing w:after="240"/>
        <w:ind w:left="4325" w:hanging="3600"/>
        <w:jc w:val="both"/>
      </w:pPr>
      <w:r>
        <w:t>*he/she/it*</w:t>
      </w:r>
      <w:r>
        <w:tab/>
      </w:r>
      <w:r>
        <w:tab/>
      </w:r>
      <w:r>
        <w:tab/>
        <w:t>--</w:t>
      </w:r>
      <w:r>
        <w:tab/>
        <w:t>“he” “she” or “it”, referring to the noncharitable donee</w:t>
      </w:r>
    </w:p>
  </w:footnote>
  <w:footnote w:id="7">
    <w:p w:rsidR="00800BE7" w:rsidRDefault="00800BE7">
      <w:pPr>
        <w:spacing w:after="240"/>
        <w:ind w:left="5"/>
        <w:jc w:val="both"/>
      </w:pPr>
      <w:r>
        <w:rPr>
          <w:rStyle w:val="FootnoteReference"/>
          <w:vertAlign w:val="superscript"/>
        </w:rPr>
        <w:footnoteRef/>
      </w:r>
      <w:r>
        <w:t xml:space="preserve">  See Prop. Reg. § 1.108</w:t>
      </w:r>
      <w:r>
        <w:noBreakHyphen/>
        <w:t>9, 76 FR 20593</w:t>
      </w:r>
      <w:r>
        <w:noBreakHyphen/>
        <w:t>01 (April 13, 2011).</w:t>
      </w:r>
    </w:p>
  </w:footnote>
  <w:footnote w:id="8">
    <w:p w:rsidR="00800BE7" w:rsidRDefault="00800BE7">
      <w:pPr>
        <w:spacing w:after="240"/>
        <w:ind w:left="5"/>
        <w:jc w:val="both"/>
      </w:pPr>
      <w:r>
        <w:rPr>
          <w:rStyle w:val="FootnoteReference"/>
          <w:vertAlign w:val="superscript"/>
        </w:rPr>
        <w:footnoteRef/>
      </w:r>
      <w:r>
        <w:t xml:space="preserve">  See REG-140029-07, 73 Fed. Reg. 45908 (Aug. 7, 2008), regarding changes in substantiation and reporting of charitable contributions.</w:t>
      </w:r>
    </w:p>
  </w:footnote>
  <w:footnote w:id="9">
    <w:p w:rsidR="00800BE7" w:rsidRDefault="00800BE7">
      <w:pPr>
        <w:spacing w:after="240"/>
        <w:ind w:left="5"/>
        <w:jc w:val="both"/>
      </w:pPr>
      <w:r>
        <w:rPr>
          <w:rStyle w:val="FootnoteReference"/>
          <w:vertAlign w:val="superscript"/>
        </w:rPr>
        <w:footnoteRef/>
      </w:r>
      <w:r>
        <w:t xml:space="preserve">  See REG-101258-08, 73 Fed. Reg. 34670 (June 18, 2008), correction 73 Fed. Reg. 40793 (July 16, 2008), further correction in Ann. 2008-73, 2008-33 I.R.B. 391 (Aug. 18, 2008).</w:t>
      </w:r>
    </w:p>
  </w:footnote>
  <w:footnote w:id="10">
    <w:p w:rsidR="00800BE7" w:rsidRDefault="00800BE7">
      <w:pPr>
        <w:spacing w:after="240"/>
        <w:ind w:left="5"/>
        <w:jc w:val="both"/>
      </w:pPr>
      <w:r>
        <w:rPr>
          <w:rStyle w:val="FootnoteReference"/>
          <w:vertAlign w:val="superscript"/>
        </w:rPr>
        <w:footnoteRef/>
      </w:r>
      <w:r>
        <w:t xml:space="preserve">  See REG-112196-07, 73 Fed. Reg. 22300 (April 24, 2008).</w:t>
      </w:r>
    </w:p>
  </w:footnote>
  <w:footnote w:id="11">
    <w:p w:rsidR="00800BE7" w:rsidRDefault="00800BE7">
      <w:pPr>
        <w:spacing w:after="240"/>
        <w:ind w:left="5"/>
        <w:jc w:val="both"/>
      </w:pPr>
      <w:r>
        <w:rPr>
          <w:rStyle w:val="FootnoteReference"/>
          <w:vertAlign w:val="superscript"/>
        </w:rPr>
        <w:footnoteRef/>
      </w:r>
      <w:r>
        <w:t xml:space="preserve">  See Prop. Treas. Reg. §§ 20.2036-1(b)(1)(ii), 20.2036-1(c)(1)(ii), 20.2036-1(c)(2), 74 Fed. Reg. 19913 (April 30, 2009), corrected 74 Fed. Reg. 26597 (June 3, 2009), corrected Ann. 2009-50, 2009-25 I.R.B. 1105 (June 22, 2009).</w:t>
      </w:r>
    </w:p>
  </w:footnote>
  <w:footnote w:id="12">
    <w:p w:rsidR="00800BE7" w:rsidRDefault="00800BE7">
      <w:pPr>
        <w:spacing w:after="240"/>
        <w:ind w:left="5"/>
        <w:jc w:val="both"/>
      </w:pPr>
      <w:r>
        <w:rPr>
          <w:rStyle w:val="FootnoteReference"/>
          <w:vertAlign w:val="superscript"/>
        </w:rPr>
        <w:footnoteRef/>
      </w:r>
      <w:r>
        <w:t xml:space="preserve">  See REG-147775-06, 73 Fed. Reg. 20870-01 (April 17, 2008).</w:t>
      </w:r>
    </w:p>
  </w:footnote>
  <w:footnote w:id="13">
    <w:p w:rsidR="00800BE7" w:rsidRDefault="00800BE7">
      <w:pPr>
        <w:spacing w:after="240"/>
        <w:ind w:left="5"/>
        <w:jc w:val="both"/>
      </w:pPr>
      <w:r>
        <w:rPr>
          <w:rStyle w:val="FootnoteReference"/>
          <w:vertAlign w:val="superscript"/>
        </w:rPr>
        <w:footnoteRef/>
      </w:r>
      <w:r>
        <w:t xml:space="preserve">  See T.D. 9540, 76 Fed. Reg. 49570 (Aug. 10, 2011).</w:t>
      </w:r>
    </w:p>
  </w:footnote>
  <w:footnote w:id="14">
    <w:p w:rsidR="00800BE7" w:rsidRDefault="00800BE7">
      <w:pPr>
        <w:spacing w:after="240"/>
        <w:ind w:left="5"/>
        <w:jc w:val="both"/>
      </w:pPr>
      <w:r>
        <w:rPr>
          <w:rStyle w:val="FootnoteReference"/>
          <w:vertAlign w:val="superscript"/>
        </w:rPr>
        <w:footnoteRef/>
      </w:r>
      <w:r>
        <w:t xml:space="preserve">  See REG</w:t>
      </w:r>
      <w:r>
        <w:noBreakHyphen/>
        <w:t>141901</w:t>
      </w:r>
      <w:r>
        <w:noBreakHyphen/>
        <w:t>05, 71 Fed. Reg. 61441 (Oct. 18,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BE7"/>
    <w:rsid w:val="00081E76"/>
    <w:rsid w:val="004E21EF"/>
    <w:rsid w:val="006D2857"/>
    <w:rsid w:val="00800BE7"/>
    <w:rsid w:val="00846C0C"/>
    <w:rsid w:val="009000E8"/>
    <w:rsid w:val="00B1429D"/>
    <w:rsid w:val="00BC7053"/>
    <w:rsid w:val="00C74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9D"/>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1429D"/>
  </w:style>
  <w:style w:type="paragraph" w:styleId="TOC1">
    <w:name w:val="toc 1"/>
    <w:basedOn w:val="Normal"/>
    <w:next w:val="Normal"/>
    <w:uiPriority w:val="99"/>
    <w:rsid w:val="00B1429D"/>
    <w:pPr>
      <w:ind w:left="720" w:hanging="720"/>
    </w:pPr>
  </w:style>
  <w:style w:type="paragraph" w:styleId="TOC2">
    <w:name w:val="toc 2"/>
    <w:basedOn w:val="Normal"/>
    <w:next w:val="Normal"/>
    <w:uiPriority w:val="99"/>
    <w:rsid w:val="00B1429D"/>
    <w:pPr>
      <w:ind w:left="1440" w:hanging="720"/>
    </w:pPr>
  </w:style>
  <w:style w:type="paragraph" w:styleId="TOC3">
    <w:name w:val="toc 3"/>
    <w:basedOn w:val="Normal"/>
    <w:next w:val="Normal"/>
    <w:uiPriority w:val="99"/>
    <w:rsid w:val="00B1429D"/>
    <w:pPr>
      <w:ind w:left="2160" w:hanging="720"/>
    </w:pPr>
  </w:style>
  <w:style w:type="character" w:customStyle="1" w:styleId="Hypertext">
    <w:name w:val="Hypertext"/>
    <w:uiPriority w:val="99"/>
    <w:rsid w:val="00B142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222</Pages>
  <Words>80177</Words>
  <Characters>443311</Characters>
  <Application>Microsoft Office Word</Application>
  <DocSecurity>0</DocSecurity>
  <Lines>3694</Lines>
  <Paragraphs>1044</Paragraphs>
  <ScaleCrop>false</ScaleCrop>
  <Company/>
  <LinksUpToDate>false</LinksUpToDate>
  <CharactersWithSpaces>522444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Eisenberg</dc:creator>
  <cp:keywords/>
  <dc:description/>
  <cp:lastModifiedBy>Lillian Bromley</cp:lastModifiedBy>
  <cp:revision>2</cp:revision>
  <dcterms:created xsi:type="dcterms:W3CDTF">2011-11-07T15:42:00Z</dcterms:created>
  <dcterms:modified xsi:type="dcterms:W3CDTF">2011-11-07T15:42:00Z</dcterms:modified>
</cp:coreProperties>
</file>